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9FED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C2A7817">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44DDC06">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83.040.10</w:t>
            </w:r>
            <w:r>
              <w:rPr>
                <w:rFonts w:ascii="黑体" w:hAnsi="黑体" w:eastAsia="黑体"/>
                <w:sz w:val="21"/>
                <w:szCs w:val="21"/>
              </w:rPr>
              <w:fldChar w:fldCharType="end"/>
            </w:r>
            <w:bookmarkEnd w:id="0"/>
          </w:p>
        </w:tc>
      </w:tr>
      <w:tr w14:paraId="559E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C88C1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5C6703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BB47A58">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38CAC2C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72</w:t>
            </w:r>
            <w:r>
              <w:rPr>
                <w:rFonts w:ascii="黑体" w:hAnsi="黑体" w:eastAsia="黑体"/>
                <w:sz w:val="21"/>
                <w:szCs w:val="21"/>
              </w:rPr>
              <w:fldChar w:fldCharType="end"/>
            </w:r>
            <w:bookmarkEnd w:id="2"/>
          </w:p>
        </w:tc>
      </w:tr>
    </w:tbl>
    <w:p w14:paraId="49BF5FB0">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DC6B043">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A64E590">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BC79C6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3C7119F">
      <w:pPr>
        <w:pStyle w:val="50"/>
        <w:framePr w:w="9639" w:h="6976" w:hRule="exact" w:hSpace="0" w:vSpace="0" w:wrap="around" w:hAnchor="page" w:y="6408"/>
        <w:jc w:val="center"/>
        <w:rPr>
          <w:rFonts w:hint="eastAsia" w:ascii="黑体" w:hAnsi="黑体" w:eastAsia="黑体"/>
          <w:b w:val="0"/>
          <w:bCs w:val="0"/>
          <w:w w:val="100"/>
        </w:rPr>
      </w:pPr>
    </w:p>
    <w:p w14:paraId="66FBFF9D">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天然生胶 高铁减震器</w:t>
      </w:r>
      <w:r>
        <w:rPr>
          <w:rFonts w:hint="eastAsia"/>
          <w:lang w:eastAsia="zh-CN"/>
        </w:rPr>
        <w:t>标准</w:t>
      </w:r>
      <w:r>
        <w:rPr>
          <w:rFonts w:hint="eastAsia"/>
        </w:rPr>
        <w:t>橡胶</w:t>
      </w:r>
      <w:r>
        <w:fldChar w:fldCharType="end"/>
      </w:r>
      <w:bookmarkEnd w:id="9"/>
    </w:p>
    <w:p w14:paraId="6C8A17BA">
      <w:pPr>
        <w:framePr w:w="9639" w:h="6974" w:hRule="exact" w:wrap="around" w:vAnchor="page" w:hAnchor="page" w:x="1419" w:y="6408" w:anchorLock="1"/>
        <w:ind w:left="-1418"/>
      </w:pPr>
    </w:p>
    <w:p w14:paraId="08BD37C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Natural raw rubber  Srandard rubber for aviationg tires</w:t>
      </w:r>
      <w:r>
        <w:rPr>
          <w:rFonts w:eastAsia="黑体"/>
          <w:szCs w:val="28"/>
        </w:rPr>
        <w:fldChar w:fldCharType="end"/>
      </w:r>
      <w:bookmarkEnd w:id="10"/>
    </w:p>
    <w:p w14:paraId="5E1194D9">
      <w:pPr>
        <w:framePr w:w="9639" w:h="6974" w:hRule="exact" w:wrap="around" w:vAnchor="page" w:hAnchor="page" w:x="1419" w:y="6408" w:anchorLock="1"/>
        <w:spacing w:line="760" w:lineRule="exact"/>
        <w:ind w:left="-1418"/>
      </w:pPr>
    </w:p>
    <w:p w14:paraId="63883494">
      <w:pPr>
        <w:pStyle w:val="125"/>
        <w:framePr w:w="9639" w:h="6974" w:hRule="exact" w:wrap="around" w:vAnchor="page" w:hAnchor="page" w:x="1419" w:y="6408" w:anchorLock="1"/>
        <w:textAlignment w:val="bottom"/>
        <w:rPr>
          <w:rFonts w:eastAsia="黑体"/>
          <w:szCs w:val="28"/>
        </w:rPr>
      </w:pPr>
    </w:p>
    <w:p w14:paraId="7B55F33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B619DC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AEF296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414E25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03AD4E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C058FF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C708A2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703C5B">
      <w:pPr>
        <w:pStyle w:val="89"/>
        <w:spacing w:before="900" w:after="360"/>
        <w:rPr>
          <w:color w:val="000000" w:themeColor="text1"/>
          <w14:textFill>
            <w14:solidFill>
              <w14:schemeClr w14:val="tx1"/>
            </w14:solidFill>
          </w14:textFill>
        </w:rPr>
      </w:pPr>
      <w:bookmarkStart w:id="21" w:name="BookMark2"/>
      <w:bookmarkStart w:id="46" w:name="_GoBack"/>
      <w:bookmarkEnd w:id="46"/>
      <w:r>
        <w:rPr>
          <w:rFonts w:hint="eastAsia"/>
          <w:color w:val="000000" w:themeColor="text1"/>
          <w:spacing w:val="320"/>
          <w14:textFill>
            <w14:solidFill>
              <w14:schemeClr w14:val="tx1"/>
            </w14:solidFill>
          </w14:textFill>
        </w:rPr>
        <w:t>前</w:t>
      </w:r>
      <w:r>
        <w:rPr>
          <w:rFonts w:hint="eastAsia"/>
          <w:color w:val="000000" w:themeColor="text1"/>
          <w14:textFill>
            <w14:solidFill>
              <w14:schemeClr w14:val="tx1"/>
            </w14:solidFill>
          </w14:textFill>
        </w:rPr>
        <w:t>言</w:t>
      </w:r>
    </w:p>
    <w:p w14:paraId="60C8283A">
      <w:pPr>
        <w:pStyle w:val="56"/>
        <w:ind w:firstLine="42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本文件按</w:t>
      </w:r>
      <w:r>
        <w:rPr>
          <w:rFonts w:ascii="Times New Roman"/>
          <w:color w:val="000000" w:themeColor="text1"/>
          <w14:textFill>
            <w14:solidFill>
              <w14:schemeClr w14:val="tx1"/>
            </w14:solidFill>
          </w14:textFill>
        </w:rPr>
        <w:t>照GB/T 1.1—2020《标准化工作导则  第1部分：标准化文件的结构和起草规则》的规定起草。</w:t>
      </w:r>
    </w:p>
    <w:p w14:paraId="79BC299C">
      <w:pPr>
        <w:pStyle w:val="56"/>
        <w:ind w:firstLine="420"/>
        <w:rPr>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本文件由中国热带作物学</w:t>
      </w:r>
      <w:r>
        <w:rPr>
          <w:rFonts w:hint="eastAsia"/>
          <w:color w:val="000000" w:themeColor="text1"/>
          <w14:textFill>
            <w14:solidFill>
              <w14:schemeClr w14:val="tx1"/>
            </w14:solidFill>
          </w14:textFill>
        </w:rPr>
        <w:t>会提出并归口。</w:t>
      </w:r>
    </w:p>
    <w:p w14:paraId="42953F21">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本文件起草单位：青岛科技大学、中国热带农业科学院橡胶所 中国热带农业科学院农产品加工研究所 青岛博锐智远减振科技有限公司。</w:t>
      </w:r>
    </w:p>
    <w:p w14:paraId="72A3BFC2">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本文件主要起草人：夏琳、辛振祥、王洪振、曹江勇、刘志国、桂红星、廖禄生、丁丽、王兵兵。</w:t>
      </w:r>
    </w:p>
    <w:p w14:paraId="0F006F77">
      <w:pPr>
        <w:pStyle w:val="56"/>
        <w:ind w:firstLine="420"/>
        <w:rPr>
          <w:color w:val="000000" w:themeColor="text1"/>
          <w14:textFill>
            <w14:solidFill>
              <w14:schemeClr w14:val="tx1"/>
            </w14:solidFill>
          </w14:textFill>
        </w:rPr>
      </w:pPr>
    </w:p>
    <w:p w14:paraId="1EC0D09F">
      <w:pPr>
        <w:pStyle w:val="56"/>
        <w:ind w:firstLine="420"/>
        <w:rPr>
          <w:color w:val="000000" w:themeColor="text1"/>
          <w14:textFill>
            <w14:solidFill>
              <w14:schemeClr w14:val="tx1"/>
            </w14:solidFill>
          </w14:textFill>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66101390">
      <w:pPr>
        <w:spacing w:line="20" w:lineRule="exact"/>
        <w:jc w:val="center"/>
        <w:rPr>
          <w:rFonts w:hint="eastAsia" w:ascii="黑体" w:hAnsi="黑体" w:eastAsia="黑体"/>
          <w:sz w:val="32"/>
          <w:szCs w:val="32"/>
        </w:rPr>
      </w:pPr>
      <w:bookmarkStart w:id="22" w:name="BookMark4"/>
    </w:p>
    <w:p w14:paraId="11CB772C">
      <w:pPr>
        <w:spacing w:line="20" w:lineRule="exact"/>
        <w:jc w:val="center"/>
        <w:rPr>
          <w:rFonts w:hint="eastAsia" w:ascii="黑体" w:hAnsi="黑体" w:eastAsia="黑体"/>
          <w:sz w:val="32"/>
          <w:szCs w:val="32"/>
        </w:rPr>
      </w:pPr>
    </w:p>
    <w:sdt>
      <w:sdtPr>
        <w:tag w:val="NEW_STAND_NAME"/>
        <w:id w:val="595910757"/>
        <w:lock w:val="sdtLocked"/>
        <w:placeholder>
          <w:docPart w:val="EFC62D244B9F44DAB19DD9A4D66D201E"/>
        </w:placeholder>
      </w:sdtPr>
      <w:sdtContent>
        <w:p w14:paraId="45A79020">
          <w:pPr>
            <w:pStyle w:val="177"/>
            <w:spacing w:before="240" w:beforeLines="100" w:after="528" w:afterLines="220"/>
            <w:rPr>
              <w:rFonts w:hint="eastAsia"/>
            </w:rPr>
          </w:pPr>
          <w:bookmarkStart w:id="23" w:name="NEW_STAND_NAME"/>
          <w:r>
            <w:rPr>
              <w:rFonts w:hint="eastAsia"/>
            </w:rPr>
            <w:t>天然生胶 高铁减震器</w:t>
          </w:r>
          <w:r>
            <w:rPr>
              <w:rFonts w:hint="eastAsia"/>
              <w:lang w:eastAsia="zh-CN"/>
            </w:rPr>
            <w:t>标准</w:t>
          </w:r>
          <w:r>
            <w:rPr>
              <w:rFonts w:hint="eastAsia"/>
            </w:rPr>
            <w:t>橡胶</w:t>
          </w:r>
        </w:p>
      </w:sdtContent>
    </w:sdt>
    <w:bookmarkEnd w:id="23"/>
    <w:p w14:paraId="4850FDDB">
      <w:pPr>
        <w:pStyle w:val="104"/>
        <w:spacing w:before="240" w:after="240"/>
      </w:pPr>
      <w:bookmarkStart w:id="24" w:name="_Toc24884211"/>
      <w:bookmarkStart w:id="25" w:name="_Toc17233333"/>
      <w:bookmarkStart w:id="26" w:name="_Toc97192964"/>
      <w:bookmarkStart w:id="27" w:name="_Toc24884218"/>
      <w:bookmarkStart w:id="28" w:name="_Toc26986530"/>
      <w:bookmarkStart w:id="29" w:name="_Toc26986771"/>
      <w:bookmarkStart w:id="30" w:name="_Toc17233325"/>
      <w:bookmarkStart w:id="31" w:name="_Toc26648465"/>
      <w:bookmarkStart w:id="32" w:name="_Toc26718930"/>
      <w:r>
        <w:rPr>
          <w:rFonts w:hint="eastAsia"/>
        </w:rPr>
        <w:t>范围</w:t>
      </w:r>
      <w:bookmarkEnd w:id="24"/>
      <w:bookmarkEnd w:id="25"/>
      <w:bookmarkEnd w:id="26"/>
      <w:bookmarkEnd w:id="27"/>
      <w:bookmarkEnd w:id="28"/>
      <w:bookmarkEnd w:id="29"/>
      <w:bookmarkEnd w:id="30"/>
      <w:bookmarkEnd w:id="31"/>
      <w:bookmarkEnd w:id="32"/>
    </w:p>
    <w:p w14:paraId="6627996A">
      <w:pPr>
        <w:pStyle w:val="56"/>
        <w:autoSpaceDE/>
        <w:autoSpaceDN/>
        <w:ind w:firstLine="420"/>
      </w:pPr>
      <w:bookmarkStart w:id="33" w:name="_Toc26648466"/>
      <w:bookmarkStart w:id="34" w:name="_Toc24884219"/>
      <w:bookmarkStart w:id="35" w:name="_Toc17233326"/>
      <w:bookmarkStart w:id="36" w:name="_Toc24884212"/>
      <w:bookmarkStart w:id="37" w:name="_Toc17233334"/>
      <w:r>
        <w:rPr>
          <w:rFonts w:hint="eastAsia"/>
        </w:rPr>
        <w:t>本文件规定了高铁减震器标准橡胶的要求、试验方法、检验规则及贮存。</w:t>
      </w:r>
    </w:p>
    <w:p w14:paraId="18357610">
      <w:pPr>
        <w:pStyle w:val="56"/>
        <w:autoSpaceDE/>
        <w:autoSpaceDN/>
        <w:ind w:firstLine="420"/>
      </w:pPr>
      <w:r>
        <w:rPr>
          <w:rFonts w:hint="eastAsia"/>
        </w:rPr>
        <w:t>本文件适用于高铁减震器标准橡胶的生产、检验验收和交付。</w:t>
      </w:r>
    </w:p>
    <w:p w14:paraId="55FF15A2">
      <w:pPr>
        <w:pStyle w:val="104"/>
        <w:spacing w:before="240" w:after="240"/>
      </w:pPr>
      <w:bookmarkStart w:id="38" w:name="_Toc26986531"/>
      <w:bookmarkStart w:id="39" w:name="_Toc97192965"/>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505797FA974457EBAE2DB5757B7E2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5EDCF2E">
          <w:pPr>
            <w:pStyle w:val="56"/>
            <w:autoSpaceDE/>
            <w:autoSpaceDN/>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31DDB1">
      <w:pPr>
        <w:pStyle w:val="56"/>
        <w:autoSpaceDE/>
        <w:autoSpaceDN/>
        <w:ind w:firstLine="420"/>
        <w:rPr>
          <w:rFonts w:ascii="Times New Roman"/>
        </w:rPr>
      </w:pPr>
      <w:r>
        <w:rPr>
          <w:rFonts w:ascii="Times New Roman"/>
        </w:rPr>
        <w:t>GB/T 528  硫化橡胶和热塑性橡胶拉伸应力应变性能的测定</w:t>
      </w:r>
    </w:p>
    <w:p w14:paraId="3712C22B">
      <w:pPr>
        <w:pStyle w:val="56"/>
        <w:autoSpaceDE/>
        <w:autoSpaceDN/>
        <w:ind w:firstLine="420"/>
        <w:rPr>
          <w:rFonts w:ascii="Times New Roman"/>
        </w:rPr>
      </w:pPr>
      <w:r>
        <w:rPr>
          <w:rFonts w:ascii="Times New Roman"/>
        </w:rPr>
        <w:t>GB/T 529  硫化橡胶或热塑性橡胶撕裂强度的测定</w:t>
      </w:r>
    </w:p>
    <w:p w14:paraId="65AFB0A1">
      <w:pPr>
        <w:pStyle w:val="56"/>
        <w:autoSpaceDE/>
        <w:autoSpaceDN/>
        <w:ind w:firstLine="420"/>
        <w:rPr>
          <w:rFonts w:ascii="Times New Roman"/>
        </w:rPr>
      </w:pPr>
      <w:r>
        <w:rPr>
          <w:rFonts w:ascii="Times New Roman"/>
        </w:rPr>
        <w:t>GB/T 531.1</w:t>
      </w:r>
      <w:r>
        <w:rPr>
          <w:rFonts w:ascii="Times New Roman"/>
          <w:color w:val="EE0000"/>
        </w:rPr>
        <w:t xml:space="preserve"> </w:t>
      </w:r>
      <w:r>
        <w:rPr>
          <w:rFonts w:ascii="Times New Roman"/>
        </w:rPr>
        <w:t xml:space="preserve"> 橡胶袖珍硬度计压入硬度试验方法</w:t>
      </w:r>
    </w:p>
    <w:p w14:paraId="2017F57E">
      <w:pPr>
        <w:pStyle w:val="56"/>
        <w:autoSpaceDE/>
        <w:autoSpaceDN/>
        <w:ind w:firstLine="420"/>
        <w:rPr>
          <w:rFonts w:ascii="Times New Roman"/>
        </w:rPr>
      </w:pPr>
      <w:r>
        <w:rPr>
          <w:rFonts w:ascii="Times New Roman"/>
        </w:rPr>
        <w:t>GB/T 1232.1  未硫化橡胶  用圆盘剪切粘度计进行测定  第1部分：门尼粘度的测定</w:t>
      </w:r>
    </w:p>
    <w:p w14:paraId="5231B6EB">
      <w:pPr>
        <w:pStyle w:val="56"/>
        <w:autoSpaceDE/>
        <w:autoSpaceDN/>
        <w:ind w:firstLine="420"/>
        <w:rPr>
          <w:rFonts w:ascii="Times New Roman"/>
        </w:rPr>
      </w:pPr>
      <w:r>
        <w:rPr>
          <w:rFonts w:ascii="Times New Roman"/>
        </w:rPr>
        <w:t>GB/T 1687  硫化橡胶在屈挠试验中温升和耐疲劳性能的测定 第二部分：压缩屈挠试验</w:t>
      </w:r>
    </w:p>
    <w:p w14:paraId="58432E89">
      <w:pPr>
        <w:pStyle w:val="56"/>
        <w:autoSpaceDE/>
        <w:autoSpaceDN/>
        <w:ind w:firstLine="420"/>
        <w:rPr>
          <w:rFonts w:ascii="Times New Roman"/>
        </w:rPr>
      </w:pPr>
      <w:r>
        <w:rPr>
          <w:rFonts w:ascii="Times New Roman"/>
        </w:rPr>
        <w:t>GB/T 2941  橡胶物理试验方法、试样制备和调节通用程序</w:t>
      </w:r>
    </w:p>
    <w:p w14:paraId="245D1D74">
      <w:pPr>
        <w:pStyle w:val="56"/>
        <w:autoSpaceDE/>
        <w:autoSpaceDN/>
        <w:ind w:firstLine="420"/>
        <w:rPr>
          <w:rFonts w:ascii="Times New Roman"/>
        </w:rPr>
      </w:pPr>
      <w:r>
        <w:rPr>
          <w:rFonts w:ascii="Times New Roman"/>
        </w:rPr>
        <w:t>GB/T 3510  未硫化胶  塑性的测定 快速塑性计法</w:t>
      </w:r>
    </w:p>
    <w:p w14:paraId="233FC342">
      <w:pPr>
        <w:pStyle w:val="56"/>
        <w:autoSpaceDE/>
        <w:autoSpaceDN/>
        <w:ind w:firstLine="420"/>
        <w:rPr>
          <w:rFonts w:ascii="Times New Roman"/>
        </w:rPr>
      </w:pPr>
      <w:r>
        <w:rPr>
          <w:rFonts w:ascii="Times New Roman"/>
        </w:rPr>
        <w:t>GB/T 3516  橡胶 溶剂抽出物的测定</w:t>
      </w:r>
    </w:p>
    <w:p w14:paraId="603285D4">
      <w:pPr>
        <w:pStyle w:val="56"/>
        <w:autoSpaceDE/>
        <w:autoSpaceDN/>
        <w:ind w:firstLine="420"/>
        <w:rPr>
          <w:rFonts w:ascii="Times New Roman"/>
        </w:rPr>
      </w:pPr>
      <w:r>
        <w:rPr>
          <w:rFonts w:ascii="Times New Roman"/>
        </w:rPr>
        <w:t>GB/T 3517  天然生胶  塑性保持率（PRI）的测定</w:t>
      </w:r>
    </w:p>
    <w:p w14:paraId="0D450177">
      <w:pPr>
        <w:pStyle w:val="56"/>
        <w:autoSpaceDE/>
        <w:autoSpaceDN/>
        <w:ind w:firstLine="420"/>
        <w:rPr>
          <w:rFonts w:ascii="Times New Roman"/>
        </w:rPr>
      </w:pPr>
      <w:r>
        <w:rPr>
          <w:rFonts w:ascii="Times New Roman"/>
        </w:rPr>
        <w:t>GB/T 4498.2  橡胶 灰分的测定</w:t>
      </w:r>
    </w:p>
    <w:p w14:paraId="2B55F7D7">
      <w:pPr>
        <w:pStyle w:val="56"/>
        <w:autoSpaceDE/>
        <w:autoSpaceDN/>
        <w:ind w:firstLine="420"/>
        <w:rPr>
          <w:rFonts w:ascii="Times New Roman"/>
        </w:rPr>
      </w:pPr>
      <w:r>
        <w:rPr>
          <w:rFonts w:ascii="Times New Roman"/>
        </w:rPr>
        <w:t>GB/T 6038  橡胶试验胶料的配料、混炼和硫化设备及操作程序</w:t>
      </w:r>
    </w:p>
    <w:p w14:paraId="1C11C322">
      <w:pPr>
        <w:pStyle w:val="56"/>
        <w:autoSpaceDE/>
        <w:autoSpaceDN/>
        <w:ind w:firstLine="420"/>
        <w:rPr>
          <w:rFonts w:ascii="Times New Roman"/>
        </w:rPr>
      </w:pPr>
      <w:r>
        <w:rPr>
          <w:rFonts w:ascii="Times New Roman"/>
        </w:rPr>
        <w:t>GB/T 8081  天然生胶技术分级橡胶(TSR)规格导则</w:t>
      </w:r>
    </w:p>
    <w:p w14:paraId="7077A286">
      <w:pPr>
        <w:pStyle w:val="56"/>
        <w:autoSpaceDE/>
        <w:autoSpaceDN/>
        <w:ind w:firstLine="420"/>
        <w:rPr>
          <w:rFonts w:ascii="Times New Roman"/>
        </w:rPr>
      </w:pPr>
      <w:r>
        <w:rPr>
          <w:rFonts w:ascii="Times New Roman"/>
        </w:rPr>
        <w:t>GB/T 8086  天然生胶  杂质含量测定法</w:t>
      </w:r>
    </w:p>
    <w:p w14:paraId="38A2F135">
      <w:pPr>
        <w:pStyle w:val="56"/>
        <w:autoSpaceDE/>
        <w:autoSpaceDN/>
        <w:ind w:firstLine="420"/>
        <w:rPr>
          <w:rFonts w:ascii="Times New Roman"/>
        </w:rPr>
      </w:pPr>
      <w:r>
        <w:rPr>
          <w:rFonts w:ascii="Times New Roman"/>
        </w:rPr>
        <w:t>GB/T 8088  天然生胶和天然胶乳  氮含量的测定</w:t>
      </w:r>
    </w:p>
    <w:p w14:paraId="5E0C41EA">
      <w:pPr>
        <w:pStyle w:val="56"/>
        <w:autoSpaceDE/>
        <w:autoSpaceDN/>
        <w:ind w:firstLine="420"/>
        <w:rPr>
          <w:rFonts w:ascii="Times New Roman"/>
        </w:rPr>
      </w:pPr>
      <w:r>
        <w:rPr>
          <w:rFonts w:ascii="Times New Roman"/>
        </w:rPr>
        <w:t>GB/T 8089  天然生胶烟胶片、白皱胶片和浅色皱胶片</w:t>
      </w:r>
    </w:p>
    <w:p w14:paraId="174988AD">
      <w:pPr>
        <w:pStyle w:val="56"/>
        <w:autoSpaceDE/>
        <w:autoSpaceDN/>
        <w:ind w:firstLine="420"/>
        <w:rPr>
          <w:rFonts w:ascii="Times New Roman"/>
        </w:rPr>
      </w:pPr>
      <w:r>
        <w:rPr>
          <w:rFonts w:ascii="Times New Roman"/>
        </w:rPr>
        <w:t>GB/T 15340  天然、合成生胶取样及制样方法）</w:t>
      </w:r>
    </w:p>
    <w:p w14:paraId="7B0D0014">
      <w:pPr>
        <w:pStyle w:val="56"/>
        <w:autoSpaceDE/>
        <w:autoSpaceDN/>
        <w:ind w:firstLine="420"/>
        <w:rPr>
          <w:rFonts w:ascii="Times New Roman"/>
        </w:rPr>
      </w:pPr>
      <w:r>
        <w:rPr>
          <w:rFonts w:ascii="Times New Roman"/>
        </w:rPr>
        <w:t>GB/T 24131.1  生橡胶  挥发分含量的测定 第一部分：热辊法和烘箱法</w:t>
      </w:r>
    </w:p>
    <w:p w14:paraId="3CC8F80D">
      <w:pPr>
        <w:pStyle w:val="56"/>
        <w:autoSpaceDE/>
        <w:autoSpaceDN/>
        <w:ind w:firstLine="420"/>
        <w:rPr>
          <w:rFonts w:ascii="Times New Roman"/>
        </w:rPr>
      </w:pPr>
      <w:r>
        <w:rPr>
          <w:rFonts w:ascii="Times New Roman"/>
        </w:rPr>
        <w:t>GB/T 24797.2  橡胶包装用薄膜 第2部分：天然橡胶</w:t>
      </w:r>
    </w:p>
    <w:p w14:paraId="04E0DD13">
      <w:pPr>
        <w:pStyle w:val="56"/>
        <w:autoSpaceDE/>
        <w:autoSpaceDN/>
        <w:ind w:firstLine="420"/>
        <w:rPr>
          <w:rFonts w:ascii="Times New Roman"/>
        </w:rPr>
      </w:pPr>
      <w:r>
        <w:rPr>
          <w:rFonts w:ascii="Times New Roman"/>
        </w:rPr>
        <w:t>NY/T 1403  天然橡胶  评价方法</w:t>
      </w:r>
    </w:p>
    <w:p w14:paraId="418DC6EB">
      <w:pPr>
        <w:pStyle w:val="56"/>
        <w:autoSpaceDE/>
        <w:autoSpaceDN/>
        <w:ind w:firstLine="420"/>
        <w:rPr>
          <w:rFonts w:ascii="Times New Roman"/>
        </w:rPr>
      </w:pPr>
      <w:r>
        <w:rPr>
          <w:rFonts w:ascii="Times New Roman"/>
        </w:rPr>
        <w:t>NY/T1527  天然生胶  水溶物含量的测定</w:t>
      </w:r>
    </w:p>
    <w:p w14:paraId="7714F4DE">
      <w:pPr>
        <w:pStyle w:val="104"/>
        <w:spacing w:before="240" w:after="240"/>
      </w:pPr>
      <w:bookmarkStart w:id="42" w:name="_Toc97192966"/>
      <w:r>
        <w:rPr>
          <w:rFonts w:hint="eastAsia"/>
          <w:szCs w:val="21"/>
        </w:rPr>
        <w:t>术语和定义</w:t>
      </w:r>
      <w:bookmarkEnd w:id="42"/>
    </w:p>
    <w:sdt>
      <w:sdtPr>
        <w:id w:val="-1909835108"/>
        <w:placeholder>
          <w:docPart w:val="9D51A0C1406946D487C47D56819823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A02DE22">
          <w:pPr>
            <w:pStyle w:val="56"/>
            <w:autoSpaceDE/>
            <w:autoSpaceDN/>
            <w:ind w:firstLine="420"/>
          </w:pPr>
          <w:bookmarkStart w:id="43" w:name="_Toc26986532"/>
          <w:bookmarkEnd w:id="43"/>
          <w:r>
            <w:t>本文件没有需要界定的术语和定义。</w:t>
          </w:r>
        </w:p>
      </w:sdtContent>
    </w:sdt>
    <w:p w14:paraId="5B10B75C">
      <w:pPr>
        <w:pStyle w:val="104"/>
        <w:spacing w:before="240" w:after="240" w:line="278" w:lineRule="auto"/>
        <w:rPr>
          <w:szCs w:val="21"/>
        </w:rPr>
      </w:pPr>
      <w:r>
        <w:rPr>
          <w:rFonts w:hint="eastAsia"/>
          <w:szCs w:val="21"/>
        </w:rPr>
        <w:t>技术要求</w:t>
      </w:r>
    </w:p>
    <w:p w14:paraId="2B572BC0">
      <w:pPr>
        <w:pStyle w:val="105"/>
        <w:spacing w:before="120" w:after="120" w:line="278" w:lineRule="auto"/>
        <w:rPr>
          <w:szCs w:val="22"/>
        </w:rPr>
      </w:pPr>
      <w:r>
        <w:rPr>
          <w:szCs w:val="22"/>
        </w:rPr>
        <w:t>物理和化学性能要求</w:t>
      </w:r>
    </w:p>
    <w:p w14:paraId="6D8503B9">
      <w:pPr>
        <w:pStyle w:val="56"/>
        <w:autoSpaceDE/>
        <w:autoSpaceDN/>
        <w:ind w:firstLine="420"/>
        <w:rPr>
          <w:rFonts w:hint="eastAsia"/>
        </w:rPr>
      </w:pPr>
      <w:r>
        <w:rPr>
          <w:rFonts w:hint="eastAsia"/>
        </w:rPr>
        <w:t>高铁减震器标准橡胶</w:t>
      </w:r>
      <w:r>
        <w:rPr>
          <w:color w:val="0D0D0D" w:themeColor="text1" w:themeTint="F2"/>
          <w14:textFill>
            <w14:solidFill>
              <w14:schemeClr w14:val="tx1">
                <w14:lumMod w14:val="95000"/>
                <w14:lumOff w14:val="5000"/>
              </w14:schemeClr>
            </w14:solidFill>
          </w14:textFill>
        </w:rPr>
        <w:t>的</w:t>
      </w:r>
      <w:r>
        <w:rPr>
          <w:rFonts w:hint="eastAsia"/>
          <w:color w:val="0D0D0D" w:themeColor="text1" w:themeTint="F2"/>
          <w14:textFill>
            <w14:solidFill>
              <w14:schemeClr w14:val="tx1">
                <w14:lumMod w14:val="95000"/>
                <w14:lumOff w14:val="5000"/>
              </w14:schemeClr>
            </w14:solidFill>
          </w14:textFill>
        </w:rPr>
        <w:t>各项</w:t>
      </w:r>
      <w:r>
        <w:rPr>
          <w:color w:val="0D0D0D" w:themeColor="text1" w:themeTint="F2"/>
          <w14:textFill>
            <w14:solidFill>
              <w14:schemeClr w14:val="tx1">
                <w14:lumMod w14:val="95000"/>
                <w14:lumOff w14:val="5000"/>
              </w14:schemeClr>
            </w14:solidFill>
          </w14:textFill>
        </w:rPr>
        <w:t>物</w:t>
      </w:r>
      <w:r>
        <w:t>理和化学性能要求应符合表</w:t>
      </w:r>
      <w:r>
        <w:rPr>
          <w:rFonts w:ascii="Times New Roman"/>
        </w:rPr>
        <w:t>1</w:t>
      </w:r>
      <w:r>
        <w:rPr>
          <w:rFonts w:hint="eastAsia"/>
        </w:rPr>
        <w:t>的</w:t>
      </w:r>
      <w:r>
        <w:t>规定</w:t>
      </w:r>
      <w:r>
        <w:rPr>
          <w:rFonts w:hint="eastAsia"/>
        </w:rPr>
        <w:t>。</w:t>
      </w:r>
    </w:p>
    <w:p w14:paraId="1B123ACD">
      <w:pPr>
        <w:pStyle w:val="112"/>
        <w:spacing w:before="120" w:after="120"/>
      </w:pPr>
      <w:r>
        <w:rPr>
          <w:rFonts w:hint="eastAsia"/>
        </w:rPr>
        <w:t>高铁减震器标准</w:t>
      </w:r>
      <w:r>
        <w:t>橡胶的物理和化学性能规格</w:t>
      </w:r>
    </w:p>
    <w:tbl>
      <w:tblPr>
        <w:tblStyle w:val="27"/>
        <w:tblW w:w="86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20"/>
        <w:gridCol w:w="1985"/>
        <w:gridCol w:w="3827"/>
      </w:tblGrid>
      <w:tr w14:paraId="575188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tcBorders>
              <w:top w:val="single" w:color="auto" w:sz="12" w:space="0"/>
              <w:bottom w:val="single" w:color="auto" w:sz="12" w:space="0"/>
            </w:tcBorders>
            <w:vAlign w:val="center"/>
          </w:tcPr>
          <w:p w14:paraId="25668F6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项目</w:t>
            </w:r>
          </w:p>
        </w:tc>
        <w:tc>
          <w:tcPr>
            <w:tcW w:w="1985" w:type="dxa"/>
            <w:tcBorders>
              <w:top w:val="single" w:color="auto" w:sz="12" w:space="0"/>
              <w:bottom w:val="single" w:color="auto" w:sz="12" w:space="0"/>
            </w:tcBorders>
            <w:vAlign w:val="center"/>
          </w:tcPr>
          <w:p w14:paraId="6A9866D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执行标准</w:t>
            </w:r>
          </w:p>
        </w:tc>
        <w:tc>
          <w:tcPr>
            <w:tcW w:w="3827" w:type="dxa"/>
            <w:tcBorders>
              <w:top w:val="single" w:color="auto" w:sz="12" w:space="0"/>
              <w:bottom w:val="single" w:color="auto" w:sz="12" w:space="0"/>
            </w:tcBorders>
            <w:vAlign w:val="center"/>
          </w:tcPr>
          <w:p w14:paraId="73AD383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检验方法</w:t>
            </w:r>
          </w:p>
        </w:tc>
      </w:tr>
      <w:tr w14:paraId="454732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tcBorders>
              <w:top w:val="single" w:color="auto" w:sz="12" w:space="0"/>
            </w:tcBorders>
            <w:vAlign w:val="center"/>
          </w:tcPr>
          <w:p w14:paraId="6DF1EC2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*挥发份，</w:t>
            </w:r>
            <w:r>
              <w:rPr>
                <w:rFonts w:hint="eastAsia" w:ascii="Times New Roman" w:hAnsi="Times New Roman"/>
                <w:color w:val="000000" w:themeColor="text1"/>
                <w:sz w:val="18"/>
                <w:szCs w:val="18"/>
                <w14:textFill>
                  <w14:solidFill>
                    <w14:schemeClr w14:val="tx1"/>
                  </w14:solidFill>
                </w14:textFill>
              </w:rPr>
              <w:t>%</w:t>
            </w:r>
          </w:p>
        </w:tc>
        <w:tc>
          <w:tcPr>
            <w:tcW w:w="1985" w:type="dxa"/>
            <w:tcBorders>
              <w:top w:val="single" w:color="auto" w:sz="12" w:space="0"/>
            </w:tcBorders>
            <w:vAlign w:val="center"/>
          </w:tcPr>
          <w:p w14:paraId="74FCC80A">
            <w:pPr>
              <w:spacing w:line="240" w:lineRule="auto"/>
              <w:jc w:val="center"/>
              <w:rPr>
                <w:rFonts w:ascii="Times New Roman" w:hAnsi="Times New Roman"/>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w:t>
            </w:r>
            <w:r>
              <w:rPr>
                <w:rFonts w:ascii="Times New Roman" w:hAnsi="Times New Roman"/>
                <w:color w:val="000000" w:themeColor="text1"/>
                <w:sz w:val="18"/>
                <w:szCs w:val="18"/>
                <w14:textFill>
                  <w14:solidFill>
                    <w14:schemeClr w14:val="tx1"/>
                  </w14:solidFill>
                </w14:textFill>
              </w:rPr>
              <w:t>0.50</w:t>
            </w:r>
          </w:p>
        </w:tc>
        <w:tc>
          <w:tcPr>
            <w:tcW w:w="3827" w:type="dxa"/>
            <w:tcBorders>
              <w:top w:val="single" w:color="auto" w:sz="12" w:space="0"/>
            </w:tcBorders>
            <w:vAlign w:val="center"/>
          </w:tcPr>
          <w:p w14:paraId="209312DC">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GB/T24131.1:（烘箱法，105℃±5℃）</w:t>
            </w:r>
          </w:p>
        </w:tc>
      </w:tr>
      <w:tr w14:paraId="5714A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5770E06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*灰分，</w:t>
            </w:r>
            <w:r>
              <w:rPr>
                <w:rFonts w:hint="eastAsia" w:ascii="Times New Roman" w:hAnsi="Times New Roman"/>
                <w:color w:val="000000" w:themeColor="text1"/>
                <w:sz w:val="18"/>
                <w:szCs w:val="18"/>
                <w14:textFill>
                  <w14:solidFill>
                    <w14:schemeClr w14:val="tx1"/>
                  </w14:solidFill>
                </w14:textFill>
              </w:rPr>
              <w:t>%</w:t>
            </w:r>
          </w:p>
        </w:tc>
        <w:tc>
          <w:tcPr>
            <w:tcW w:w="1985" w:type="dxa"/>
            <w:vAlign w:val="center"/>
          </w:tcPr>
          <w:p w14:paraId="205CE3E6">
            <w:pPr>
              <w:spacing w:line="240" w:lineRule="auto"/>
              <w:jc w:val="center"/>
              <w:rPr>
                <w:rFonts w:ascii="Times New Roman" w:hAnsi="Times New Roman"/>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w:t>
            </w:r>
            <w:r>
              <w:rPr>
                <w:rFonts w:ascii="Times New Roman" w:hAnsi="Times New Roman"/>
                <w:color w:val="000000" w:themeColor="text1"/>
                <w:sz w:val="18"/>
                <w:szCs w:val="18"/>
                <w14:textFill>
                  <w14:solidFill>
                    <w14:schemeClr w14:val="tx1"/>
                  </w14:solidFill>
                </w14:textFill>
              </w:rPr>
              <w:t>0.50</w:t>
            </w:r>
          </w:p>
        </w:tc>
        <w:tc>
          <w:tcPr>
            <w:tcW w:w="3827" w:type="dxa"/>
            <w:vAlign w:val="center"/>
          </w:tcPr>
          <w:p w14:paraId="269FAF4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GB/T 4498</w:t>
            </w:r>
          </w:p>
        </w:tc>
      </w:tr>
      <w:tr w14:paraId="124718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4E71E3C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*氮含量，</w:t>
            </w:r>
            <w:r>
              <w:rPr>
                <w:rFonts w:hint="eastAsia" w:ascii="Times New Roman" w:hAnsi="Times New Roman"/>
                <w:color w:val="000000" w:themeColor="text1"/>
                <w:sz w:val="18"/>
                <w:szCs w:val="18"/>
                <w14:textFill>
                  <w14:solidFill>
                    <w14:schemeClr w14:val="tx1"/>
                  </w14:solidFill>
                </w14:textFill>
              </w:rPr>
              <w:t>%</w:t>
            </w:r>
          </w:p>
        </w:tc>
        <w:tc>
          <w:tcPr>
            <w:tcW w:w="1985" w:type="dxa"/>
            <w:vAlign w:val="center"/>
          </w:tcPr>
          <w:p w14:paraId="023D19A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0.10—0.50</w:t>
            </w:r>
          </w:p>
        </w:tc>
        <w:tc>
          <w:tcPr>
            <w:tcW w:w="3827" w:type="dxa"/>
            <w:vAlign w:val="center"/>
          </w:tcPr>
          <w:p w14:paraId="7D0DB78A">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8088</w:t>
            </w:r>
          </w:p>
        </w:tc>
      </w:tr>
      <w:tr w14:paraId="5619C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4C914D5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杂质，</w:t>
            </w:r>
            <w:r>
              <w:rPr>
                <w:rFonts w:hint="eastAsia" w:ascii="Times New Roman" w:hAnsi="Times New Roman"/>
                <w:color w:val="000000" w:themeColor="text1"/>
                <w:sz w:val="18"/>
                <w:szCs w:val="18"/>
                <w14:textFill>
                  <w14:solidFill>
                    <w14:schemeClr w14:val="tx1"/>
                  </w14:solidFill>
                </w14:textFill>
              </w:rPr>
              <w:t>%</w:t>
            </w:r>
          </w:p>
        </w:tc>
        <w:tc>
          <w:tcPr>
            <w:tcW w:w="1985" w:type="dxa"/>
            <w:vAlign w:val="center"/>
          </w:tcPr>
          <w:p w14:paraId="7D51F7BF">
            <w:pPr>
              <w:spacing w:line="240" w:lineRule="auto"/>
              <w:jc w:val="center"/>
              <w:rPr>
                <w:rFonts w:ascii="Times New Roman" w:hAnsi="Times New Roman"/>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w:t>
            </w:r>
            <w:r>
              <w:rPr>
                <w:rFonts w:ascii="Times New Roman" w:hAnsi="Times New Roman"/>
                <w:color w:val="000000" w:themeColor="text1"/>
                <w:sz w:val="18"/>
                <w:szCs w:val="18"/>
                <w14:textFill>
                  <w14:solidFill>
                    <w14:schemeClr w14:val="tx1"/>
                  </w14:solidFill>
                </w14:textFill>
              </w:rPr>
              <w:t>0.05</w:t>
            </w:r>
          </w:p>
        </w:tc>
        <w:tc>
          <w:tcPr>
            <w:tcW w:w="3827" w:type="dxa"/>
            <w:vAlign w:val="center"/>
          </w:tcPr>
          <w:p w14:paraId="4C9A4A1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GB/T 8086</w:t>
            </w:r>
          </w:p>
        </w:tc>
      </w:tr>
      <w:tr w14:paraId="5B2A0E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3510085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丙酮抽出物，</w:t>
            </w:r>
            <w:r>
              <w:rPr>
                <w:rFonts w:hint="eastAsia" w:ascii="Times New Roman" w:hAnsi="Times New Roman"/>
                <w:color w:val="000000" w:themeColor="text1"/>
                <w:sz w:val="18"/>
                <w:szCs w:val="18"/>
                <w14:textFill>
                  <w14:solidFill>
                    <w14:schemeClr w14:val="tx1"/>
                  </w14:solidFill>
                </w14:textFill>
              </w:rPr>
              <w:t>%</w:t>
            </w:r>
          </w:p>
        </w:tc>
        <w:tc>
          <w:tcPr>
            <w:tcW w:w="1985" w:type="dxa"/>
            <w:vAlign w:val="center"/>
          </w:tcPr>
          <w:p w14:paraId="431D75D5">
            <w:pPr>
              <w:spacing w:line="240" w:lineRule="auto"/>
              <w:jc w:val="center"/>
              <w:rPr>
                <w:rFonts w:ascii="Times New Roman" w:hAnsi="Times New Roman"/>
                <w:color w:val="000000" w:themeColor="text1"/>
                <w:sz w:val="18"/>
                <w:szCs w:val="18"/>
                <w:highlight w:val="yellow"/>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1.00 ～ 4.00</w:t>
            </w:r>
          </w:p>
        </w:tc>
        <w:tc>
          <w:tcPr>
            <w:tcW w:w="3827" w:type="dxa"/>
            <w:vAlign w:val="center"/>
          </w:tcPr>
          <w:p w14:paraId="5C3E3FF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GB/T 3516</w:t>
            </w:r>
          </w:p>
        </w:tc>
      </w:tr>
      <w:tr w14:paraId="777F45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7784B1E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*门尼粘度，ML</w:t>
            </w:r>
            <w:r>
              <w:rPr>
                <w:rFonts w:ascii="Times New Roman" w:hAnsi="Times New Roman"/>
                <w:color w:val="000000" w:themeColor="text1"/>
                <w:sz w:val="18"/>
                <w:szCs w:val="18"/>
                <w:vertAlign w:val="superscript"/>
                <w14:textFill>
                  <w14:solidFill>
                    <w14:schemeClr w14:val="tx1"/>
                  </w14:solidFill>
                </w14:textFill>
              </w:rPr>
              <w:t>100℃</w:t>
            </w:r>
            <w:r>
              <w:rPr>
                <w:rFonts w:ascii="Times New Roman" w:hAnsi="Times New Roman"/>
                <w:color w:val="000000" w:themeColor="text1"/>
                <w:sz w:val="18"/>
                <w:szCs w:val="18"/>
                <w:vertAlign w:val="subscript"/>
                <w14:textFill>
                  <w14:solidFill>
                    <w14:schemeClr w14:val="tx1"/>
                  </w14:solidFill>
                </w14:textFill>
              </w:rPr>
              <w:t>1+4</w:t>
            </w:r>
          </w:p>
        </w:tc>
        <w:tc>
          <w:tcPr>
            <w:tcW w:w="1985" w:type="dxa"/>
            <w:vAlign w:val="center"/>
          </w:tcPr>
          <w:p w14:paraId="38AA59D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60 ± 5</w:t>
            </w:r>
          </w:p>
        </w:tc>
        <w:tc>
          <w:tcPr>
            <w:tcW w:w="3827" w:type="dxa"/>
            <w:vAlign w:val="center"/>
          </w:tcPr>
          <w:p w14:paraId="7A4656DD">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1232.1</w:t>
            </w:r>
          </w:p>
        </w:tc>
      </w:tr>
      <w:tr w14:paraId="6F093F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689980C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*拉伸强度，MPa</w:t>
            </w:r>
          </w:p>
        </w:tc>
        <w:tc>
          <w:tcPr>
            <w:tcW w:w="1985" w:type="dxa"/>
            <w:vAlign w:val="center"/>
          </w:tcPr>
          <w:p w14:paraId="63EE77A8">
            <w:pPr>
              <w:spacing w:line="240" w:lineRule="auto"/>
              <w:jc w:val="center"/>
              <w:rPr>
                <w:rFonts w:ascii="Times New Roman" w:hAnsi="Times New Roman"/>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 21.0</w:t>
            </w:r>
          </w:p>
        </w:tc>
        <w:tc>
          <w:tcPr>
            <w:tcW w:w="3827" w:type="dxa"/>
            <w:vAlign w:val="center"/>
          </w:tcPr>
          <w:p w14:paraId="4E7163AA">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528</w:t>
            </w:r>
          </w:p>
        </w:tc>
      </w:tr>
      <w:tr w14:paraId="194F9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50D074A7">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*拉断伸长率，</w:t>
            </w:r>
            <w:r>
              <w:rPr>
                <w:rFonts w:hint="eastAsia" w:ascii="Times New Roman" w:hAnsi="Times New Roman"/>
                <w:color w:val="000000" w:themeColor="text1"/>
                <w:sz w:val="18"/>
                <w:szCs w:val="18"/>
                <w14:textFill>
                  <w14:solidFill>
                    <w14:schemeClr w14:val="tx1"/>
                  </w14:solidFill>
                </w14:textFill>
              </w:rPr>
              <w:t>%</w:t>
            </w:r>
          </w:p>
        </w:tc>
        <w:tc>
          <w:tcPr>
            <w:tcW w:w="1985" w:type="dxa"/>
            <w:vAlign w:val="center"/>
          </w:tcPr>
          <w:p w14:paraId="68180867">
            <w:pPr>
              <w:spacing w:line="240" w:lineRule="auto"/>
              <w:jc w:val="center"/>
              <w:rPr>
                <w:rFonts w:ascii="Times New Roman" w:hAnsi="Times New Roman"/>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 550</w:t>
            </w:r>
          </w:p>
        </w:tc>
        <w:tc>
          <w:tcPr>
            <w:tcW w:w="3827" w:type="dxa"/>
            <w:vAlign w:val="center"/>
          </w:tcPr>
          <w:p w14:paraId="7D073A2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GB/T 528</w:t>
            </w:r>
          </w:p>
        </w:tc>
      </w:tr>
      <w:tr w14:paraId="4CE271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1CD12CC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*硬度，邵尔A型</w:t>
            </w:r>
          </w:p>
        </w:tc>
        <w:tc>
          <w:tcPr>
            <w:tcW w:w="1985" w:type="dxa"/>
            <w:vAlign w:val="center"/>
          </w:tcPr>
          <w:p w14:paraId="1FAEE9E4">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41 ± 3</w:t>
            </w:r>
          </w:p>
        </w:tc>
        <w:tc>
          <w:tcPr>
            <w:tcW w:w="3827" w:type="dxa"/>
            <w:vAlign w:val="center"/>
          </w:tcPr>
          <w:p w14:paraId="144F9A63">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531</w:t>
            </w:r>
          </w:p>
        </w:tc>
      </w:tr>
      <w:tr w14:paraId="37724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261CA17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*500％定伸应力，MPa</w:t>
            </w:r>
          </w:p>
        </w:tc>
        <w:tc>
          <w:tcPr>
            <w:tcW w:w="1985" w:type="dxa"/>
            <w:vAlign w:val="center"/>
          </w:tcPr>
          <w:p w14:paraId="336A3A94">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hAnsi="宋体" w:cs="Times New Roman"/>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 </w:t>
            </w:r>
            <w:r>
              <w:rPr>
                <w:rFonts w:ascii="Times New Roman" w:hAnsi="Times New Roman" w:cs="Times New Roman"/>
                <w:color w:val="000000" w:themeColor="text1"/>
                <w:sz w:val="18"/>
                <w:szCs w:val="18"/>
                <w14:textFill>
                  <w14:solidFill>
                    <w14:schemeClr w14:val="tx1"/>
                  </w14:solidFill>
                </w14:textFill>
              </w:rPr>
              <w:t>2.5</w:t>
            </w:r>
          </w:p>
        </w:tc>
        <w:tc>
          <w:tcPr>
            <w:tcW w:w="3827" w:type="dxa"/>
            <w:vAlign w:val="center"/>
          </w:tcPr>
          <w:p w14:paraId="0D560108">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528</w:t>
            </w:r>
          </w:p>
        </w:tc>
      </w:tr>
      <w:tr w14:paraId="7033C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36C36A7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撕裂强度，kN/m</w:t>
            </w:r>
          </w:p>
        </w:tc>
        <w:tc>
          <w:tcPr>
            <w:tcW w:w="1985" w:type="dxa"/>
            <w:vAlign w:val="center"/>
          </w:tcPr>
          <w:p w14:paraId="01D71120">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hAnsi="宋体" w:cs="Times New Roman"/>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 </w:t>
            </w:r>
            <w:r>
              <w:rPr>
                <w:rFonts w:ascii="Times New Roman" w:hAnsi="Times New Roman" w:cs="Times New Roman"/>
                <w:color w:val="000000" w:themeColor="text1"/>
                <w:sz w:val="18"/>
                <w:szCs w:val="18"/>
                <w14:textFill>
                  <w14:solidFill>
                    <w14:schemeClr w14:val="tx1"/>
                  </w14:solidFill>
                </w14:textFill>
              </w:rPr>
              <w:t>30</w:t>
            </w:r>
          </w:p>
        </w:tc>
        <w:tc>
          <w:tcPr>
            <w:tcW w:w="3827" w:type="dxa"/>
            <w:vAlign w:val="center"/>
          </w:tcPr>
          <w:p w14:paraId="32B8A236">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529</w:t>
            </w:r>
          </w:p>
        </w:tc>
      </w:tr>
      <w:tr w14:paraId="242C0F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0CFA5CB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压缩生热，℃</w:t>
            </w:r>
          </w:p>
        </w:tc>
        <w:tc>
          <w:tcPr>
            <w:tcW w:w="1985" w:type="dxa"/>
            <w:vAlign w:val="center"/>
          </w:tcPr>
          <w:p w14:paraId="7BC405A3">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hAnsi="宋体" w:cs="Times New Roman"/>
                <w:color w:val="000000" w:themeColor="text1"/>
                <w:sz w:val="18"/>
                <w:szCs w:val="18"/>
                <w14:textFill>
                  <w14:solidFill>
                    <w14:schemeClr w14:val="tx1"/>
                  </w14:solidFill>
                </w14:textFill>
              </w:rPr>
              <w:t>≤</w:t>
            </w:r>
            <w:r>
              <w:rPr>
                <w:rFonts w:hAnsi="宋体"/>
                <w:color w:val="000000" w:themeColor="text1"/>
                <w:sz w:val="18"/>
                <w:szCs w:val="18"/>
                <w14:textFill>
                  <w14:solidFill>
                    <w14:schemeClr w14:val="tx1"/>
                  </w14:solidFill>
                </w14:textFill>
              </w:rPr>
              <w:t> </w:t>
            </w:r>
            <w:r>
              <w:rPr>
                <w:rFonts w:ascii="Times New Roman" w:hAnsi="Times New Roman" w:cs="Times New Roman"/>
                <w:color w:val="000000" w:themeColor="text1"/>
                <w:sz w:val="18"/>
                <w:szCs w:val="18"/>
                <w14:textFill>
                  <w14:solidFill>
                    <w14:schemeClr w14:val="tx1"/>
                  </w14:solidFill>
                </w14:textFill>
              </w:rPr>
              <w:t>7</w:t>
            </w:r>
          </w:p>
        </w:tc>
        <w:tc>
          <w:tcPr>
            <w:tcW w:w="3827" w:type="dxa"/>
            <w:vAlign w:val="center"/>
          </w:tcPr>
          <w:p w14:paraId="2A1935A7">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1687</w:t>
            </w:r>
          </w:p>
        </w:tc>
      </w:tr>
      <w:tr w14:paraId="6ED06C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4967E86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*塑性初值（P</w:t>
            </w:r>
            <w:r>
              <w:rPr>
                <w:rFonts w:ascii="Times New Roman" w:hAnsi="Times New Roman"/>
                <w:color w:val="000000" w:themeColor="text1"/>
                <w:sz w:val="18"/>
                <w:szCs w:val="18"/>
                <w:vertAlign w:val="subscript"/>
                <w14:textFill>
                  <w14:solidFill>
                    <w14:schemeClr w14:val="tx1"/>
                  </w14:solidFill>
                </w14:textFill>
              </w:rPr>
              <w:t>0</w:t>
            </w:r>
            <w:r>
              <w:rPr>
                <w:rFonts w:ascii="Times New Roman" w:hAnsi="Times New Roman"/>
                <w:color w:val="000000" w:themeColor="text1"/>
                <w:sz w:val="18"/>
                <w:szCs w:val="18"/>
                <w14:textFill>
                  <w14:solidFill>
                    <w14:schemeClr w14:val="tx1"/>
                  </w14:solidFill>
                </w14:textFill>
              </w:rPr>
              <w:t>）</w:t>
            </w:r>
          </w:p>
        </w:tc>
        <w:tc>
          <w:tcPr>
            <w:tcW w:w="1985" w:type="dxa"/>
            <w:vAlign w:val="center"/>
          </w:tcPr>
          <w:p w14:paraId="324C37C0">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hAnsi="宋体" w:cs="Times New Roman"/>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 </w:t>
            </w:r>
            <w:r>
              <w:rPr>
                <w:rFonts w:ascii="Times New Roman" w:hAnsi="Times New Roman" w:cs="Times New Roman"/>
                <w:color w:val="000000" w:themeColor="text1"/>
                <w:sz w:val="18"/>
                <w:szCs w:val="18"/>
                <w14:textFill>
                  <w14:solidFill>
                    <w14:schemeClr w14:val="tx1"/>
                  </w14:solidFill>
                </w14:textFill>
              </w:rPr>
              <w:t>40</w:t>
            </w:r>
          </w:p>
        </w:tc>
        <w:tc>
          <w:tcPr>
            <w:tcW w:w="3827" w:type="dxa"/>
            <w:vAlign w:val="center"/>
          </w:tcPr>
          <w:p w14:paraId="3103834A">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3510</w:t>
            </w:r>
          </w:p>
        </w:tc>
      </w:tr>
      <w:tr w14:paraId="352C82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vAlign w:val="center"/>
          </w:tcPr>
          <w:p w14:paraId="4CE8C47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*塑性保持率（PRI）</w:t>
            </w:r>
          </w:p>
        </w:tc>
        <w:tc>
          <w:tcPr>
            <w:tcW w:w="1985" w:type="dxa"/>
            <w:vAlign w:val="center"/>
          </w:tcPr>
          <w:p w14:paraId="18C4C9A4">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hAnsi="宋体" w:cs="Times New Roman"/>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 </w:t>
            </w:r>
            <w:r>
              <w:rPr>
                <w:rFonts w:ascii="Times New Roman" w:hAnsi="Times New Roman" w:cs="Times New Roman"/>
                <w:color w:val="000000" w:themeColor="text1"/>
                <w:sz w:val="18"/>
                <w:szCs w:val="18"/>
                <w14:textFill>
                  <w14:solidFill>
                    <w14:schemeClr w14:val="tx1"/>
                  </w14:solidFill>
                </w14:textFill>
              </w:rPr>
              <w:t>70</w:t>
            </w:r>
          </w:p>
        </w:tc>
        <w:tc>
          <w:tcPr>
            <w:tcW w:w="3827" w:type="dxa"/>
            <w:vAlign w:val="center"/>
          </w:tcPr>
          <w:p w14:paraId="507860F5">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3517</w:t>
            </w:r>
          </w:p>
        </w:tc>
      </w:tr>
      <w:tr w14:paraId="5B8B90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820" w:type="dxa"/>
            <w:tcBorders>
              <w:bottom w:val="single" w:color="auto" w:sz="12" w:space="0"/>
            </w:tcBorders>
            <w:vAlign w:val="center"/>
          </w:tcPr>
          <w:p w14:paraId="079E015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回弹值/%</w:t>
            </w:r>
          </w:p>
        </w:tc>
        <w:tc>
          <w:tcPr>
            <w:tcW w:w="1985" w:type="dxa"/>
            <w:tcBorders>
              <w:bottom w:val="single" w:color="auto" w:sz="12" w:space="0"/>
            </w:tcBorders>
            <w:vAlign w:val="center"/>
          </w:tcPr>
          <w:p w14:paraId="53A71072">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hAnsi="宋体" w:cs="Times New Roman"/>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 </w:t>
            </w:r>
            <w:r>
              <w:rPr>
                <w:rFonts w:ascii="Times New Roman" w:hAnsi="Times New Roman" w:cs="Times New Roman"/>
                <w:color w:val="000000" w:themeColor="text1"/>
                <w:sz w:val="18"/>
                <w:szCs w:val="18"/>
                <w14:textFill>
                  <w14:solidFill>
                    <w14:schemeClr w14:val="tx1"/>
                  </w14:solidFill>
                </w14:textFill>
              </w:rPr>
              <w:t>65</w:t>
            </w:r>
          </w:p>
        </w:tc>
        <w:tc>
          <w:tcPr>
            <w:tcW w:w="3827" w:type="dxa"/>
            <w:tcBorders>
              <w:bottom w:val="single" w:color="auto" w:sz="12" w:space="0"/>
            </w:tcBorders>
            <w:vAlign w:val="center"/>
          </w:tcPr>
          <w:p w14:paraId="4B2EC014">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GB/T 1681</w:t>
            </w:r>
          </w:p>
        </w:tc>
      </w:tr>
      <w:tr w14:paraId="39FAD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8632" w:type="dxa"/>
            <w:gridSpan w:val="3"/>
            <w:tcBorders>
              <w:top w:val="single" w:color="auto" w:sz="12" w:space="0"/>
            </w:tcBorders>
            <w:vAlign w:val="center"/>
          </w:tcPr>
          <w:p w14:paraId="144140B6">
            <w:pPr>
              <w:pStyle w:val="180"/>
              <w:autoSpaceDE/>
              <w:autoSpaceDN/>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鉴定配方：天然橡胶100.00、氧化锌6.00、硫黄3.50、硬脂酸0.50、2-巯基苯丙噻唑（MBT）0.50。</w:t>
            </w:r>
          </w:p>
          <w:p w14:paraId="265C321A">
            <w:pPr>
              <w:pStyle w:val="180"/>
              <w:autoSpaceDE/>
              <w:autoSpaceDN/>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硫化条件：140℃×30、40分钟。</w:t>
            </w:r>
          </w:p>
        </w:tc>
      </w:tr>
    </w:tbl>
    <w:p w14:paraId="67A9A026">
      <w:pPr>
        <w:pStyle w:val="105"/>
        <w:spacing w:before="120" w:after="120" w:line="278" w:lineRule="auto"/>
        <w:rPr>
          <w:szCs w:val="22"/>
        </w:rPr>
      </w:pPr>
      <w:r>
        <w:rPr>
          <w:rFonts w:hint="eastAsia"/>
          <w:szCs w:val="22"/>
        </w:rPr>
        <w:t>外观要求</w:t>
      </w:r>
    </w:p>
    <w:p w14:paraId="7171C74A">
      <w:pPr>
        <w:pStyle w:val="56"/>
        <w:autoSpaceDE/>
        <w:autoSpaceDN/>
        <w:ind w:firstLine="420"/>
      </w:pPr>
      <w:r>
        <w:rPr>
          <w:rFonts w:hint="eastAsia"/>
        </w:rPr>
        <w:t>高铁减震器标准橡胶应满足以下条件：</w:t>
      </w:r>
    </w:p>
    <w:p w14:paraId="34F75AE5">
      <w:pPr>
        <w:pStyle w:val="132"/>
      </w:pPr>
      <w:r>
        <w:t>浅黄或浅褐色，</w:t>
      </w:r>
      <w:r>
        <w:rPr>
          <w:rFonts w:hint="eastAsia"/>
        </w:rPr>
        <w:t>色泽均匀；</w:t>
      </w:r>
    </w:p>
    <w:p w14:paraId="1066C428">
      <w:pPr>
        <w:pStyle w:val="132"/>
      </w:pPr>
      <w:r>
        <w:t>干燥、清洁</w:t>
      </w:r>
      <w:r>
        <w:rPr>
          <w:rFonts w:hint="eastAsia"/>
        </w:rPr>
        <w:t>，</w:t>
      </w:r>
      <w:r>
        <w:t>无</w:t>
      </w:r>
      <w:r>
        <w:rPr>
          <w:rFonts w:hint="eastAsia"/>
        </w:rPr>
        <w:t>木屑</w:t>
      </w:r>
      <w:r>
        <w:t>、</w:t>
      </w:r>
      <w:r>
        <w:rPr>
          <w:rFonts w:hint="eastAsia"/>
        </w:rPr>
        <w:t>砂粒等外来</w:t>
      </w:r>
      <w:r>
        <w:t>杂质</w:t>
      </w:r>
      <w:r>
        <w:rPr>
          <w:rFonts w:hint="eastAsia"/>
        </w:rPr>
        <w:t>；</w:t>
      </w:r>
    </w:p>
    <w:p w14:paraId="517FF883">
      <w:pPr>
        <w:pStyle w:val="132"/>
        <w:rPr>
          <w:rFonts w:hint="eastAsia" w:ascii="黑体" w:hAnsi="黑体" w:eastAsia="黑体"/>
          <w:b/>
        </w:rPr>
      </w:pPr>
      <w:r>
        <w:rPr>
          <w:rFonts w:hint="eastAsia"/>
        </w:rPr>
        <w:t>应</w:t>
      </w:r>
      <w:r>
        <w:t>无发霉，</w:t>
      </w:r>
      <w:r>
        <w:rPr>
          <w:rFonts w:hint="eastAsia"/>
        </w:rPr>
        <w:t>无发粘</w:t>
      </w:r>
      <w:r>
        <w:t>，</w:t>
      </w:r>
      <w:r>
        <w:rPr>
          <w:rFonts w:hint="eastAsia"/>
        </w:rPr>
        <w:t>无夹生胶</w:t>
      </w:r>
      <w:r>
        <w:t>，</w:t>
      </w:r>
      <w:r>
        <w:rPr>
          <w:rFonts w:hint="eastAsia"/>
        </w:rPr>
        <w:t>无</w:t>
      </w:r>
      <w:r>
        <w:t>严重氧化变色。</w:t>
      </w:r>
    </w:p>
    <w:p w14:paraId="356DAC75">
      <w:pPr>
        <w:pStyle w:val="105"/>
        <w:spacing w:before="120" w:after="120" w:line="278" w:lineRule="auto"/>
        <w:rPr>
          <w:szCs w:val="22"/>
        </w:rPr>
      </w:pPr>
      <w:r>
        <w:rPr>
          <w:rFonts w:hint="eastAsia"/>
          <w:szCs w:val="22"/>
        </w:rPr>
        <w:t>包装和标志</w:t>
      </w:r>
    </w:p>
    <w:p w14:paraId="4B7DC970">
      <w:pPr>
        <w:pStyle w:val="65"/>
        <w:spacing w:before="120" w:after="120" w:line="278" w:lineRule="auto"/>
        <w:rPr>
          <w:szCs w:val="22"/>
        </w:rPr>
      </w:pPr>
      <w:r>
        <w:rPr>
          <w:rFonts w:hint="eastAsia"/>
          <w:szCs w:val="22"/>
        </w:rPr>
        <w:t>包装</w:t>
      </w:r>
    </w:p>
    <w:p w14:paraId="33A5ABB9">
      <w:pPr>
        <w:pStyle w:val="94"/>
        <w:spacing w:before="120" w:after="120"/>
      </w:pPr>
      <w:r>
        <w:rPr>
          <w:rFonts w:hint="eastAsia"/>
        </w:rPr>
        <w:t>尺寸</w:t>
      </w:r>
    </w:p>
    <w:p w14:paraId="75B9B078">
      <w:pPr>
        <w:pStyle w:val="56"/>
        <w:autoSpaceDE/>
        <w:autoSpaceDN/>
        <w:ind w:firstLine="420"/>
        <w:rPr>
          <w:rFonts w:ascii="Times New Roman"/>
        </w:rPr>
      </w:pPr>
      <w:r>
        <w:rPr>
          <w:rFonts w:ascii="Times New Roman"/>
        </w:rPr>
        <w:t>胶包形状一般为长方体，其长为670 mm±20 mm；宽为330 mm±20 mm；高为250 mm±20 mm。</w:t>
      </w:r>
    </w:p>
    <w:p w14:paraId="6FB3EABF">
      <w:pPr>
        <w:pStyle w:val="94"/>
        <w:spacing w:before="120" w:after="120"/>
      </w:pPr>
      <w:r>
        <w:rPr>
          <w:rFonts w:hint="eastAsia"/>
        </w:rPr>
        <w:t>重量</w:t>
      </w:r>
    </w:p>
    <w:p w14:paraId="644184AA">
      <w:pPr>
        <w:pStyle w:val="56"/>
        <w:autoSpaceDE/>
        <w:autoSpaceDN/>
        <w:ind w:firstLine="420"/>
      </w:pPr>
      <w:r>
        <w:rPr>
          <w:rFonts w:ascii="Times New Roman"/>
        </w:rPr>
        <w:t>胶包净重量为33.33 kg（±0.5 %）</w:t>
      </w:r>
      <w:r>
        <w:rPr>
          <w:rFonts w:hint="eastAsia"/>
        </w:rPr>
        <w:t>。</w:t>
      </w:r>
    </w:p>
    <w:p w14:paraId="408B6186">
      <w:pPr>
        <w:pStyle w:val="94"/>
        <w:spacing w:before="120" w:after="120"/>
      </w:pPr>
      <w:r>
        <w:rPr>
          <w:rFonts w:hint="eastAsia"/>
        </w:rPr>
        <w:t>包装形式</w:t>
      </w:r>
    </w:p>
    <w:p w14:paraId="3E291D82">
      <w:pPr>
        <w:pStyle w:val="56"/>
        <w:autoSpaceDE/>
        <w:autoSpaceDN/>
        <w:ind w:firstLine="420"/>
      </w:pPr>
      <w:r>
        <w:rPr>
          <w:rFonts w:hint="eastAsia"/>
        </w:rPr>
        <w:t>应满可采用以下形式：</w:t>
      </w:r>
    </w:p>
    <w:p w14:paraId="4A5DD72C">
      <w:pPr>
        <w:pStyle w:val="132"/>
        <w:rPr>
          <w:rFonts w:ascii="Times New Roman"/>
        </w:rPr>
      </w:pPr>
      <w:r>
        <w:rPr>
          <w:rFonts w:ascii="Times New Roman"/>
        </w:rPr>
        <w:t>胶包内层包装应使用不剥离型薄膜，其性能应符合GB/T 24797.2的规定。</w:t>
      </w:r>
    </w:p>
    <w:p w14:paraId="0D148FC0">
      <w:pPr>
        <w:pStyle w:val="132"/>
      </w:pPr>
      <w:r>
        <w:rPr>
          <w:rFonts w:ascii="Times New Roman"/>
        </w:rPr>
        <w:t>胶包外层可使用聚乙烯、聚丙烯袋单独包装；也可采用托盘包装，每层6块，每36块组成一个托盘，托盘外面用聚乙烯薄膜包裹固定</w:t>
      </w:r>
      <w:r>
        <w:t>。</w:t>
      </w:r>
    </w:p>
    <w:p w14:paraId="68DB6747">
      <w:pPr>
        <w:pStyle w:val="179"/>
        <w:autoSpaceDE/>
        <w:autoSpaceDN/>
      </w:pPr>
      <w:r>
        <w:rPr>
          <w:rFonts w:hint="eastAsia"/>
        </w:rPr>
        <w:t>若相关各方同意，也可使用其他适用的包装形式。</w:t>
      </w:r>
    </w:p>
    <w:p w14:paraId="44160747">
      <w:pPr>
        <w:pStyle w:val="65"/>
        <w:spacing w:before="120" w:after="120" w:line="278" w:lineRule="auto"/>
        <w:rPr>
          <w:szCs w:val="22"/>
        </w:rPr>
      </w:pPr>
      <w:r>
        <w:rPr>
          <w:rFonts w:hint="eastAsia"/>
          <w:szCs w:val="22"/>
        </w:rPr>
        <w:t>标志</w:t>
      </w:r>
    </w:p>
    <w:p w14:paraId="1C220BA2">
      <w:pPr>
        <w:pStyle w:val="56"/>
        <w:autoSpaceDE/>
        <w:autoSpaceDN/>
        <w:ind w:firstLine="420"/>
      </w:pPr>
      <w:r>
        <w:rPr>
          <w:rFonts w:hint="eastAsia"/>
        </w:rPr>
        <w:t>每个胶包外包装上应有清晰可见的以下永久性信息：</w:t>
      </w:r>
    </w:p>
    <w:p w14:paraId="6124FB59">
      <w:pPr>
        <w:pStyle w:val="174"/>
      </w:pPr>
      <w:r>
        <w:rPr>
          <w:rFonts w:hint="eastAsia"/>
        </w:rPr>
        <w:t>产品名称；</w:t>
      </w:r>
    </w:p>
    <w:p w14:paraId="62CB79B2">
      <w:pPr>
        <w:pStyle w:val="174"/>
      </w:pPr>
      <w:r>
        <w:rPr>
          <w:rFonts w:hint="eastAsia"/>
        </w:rPr>
        <w:t>规格代号；</w:t>
      </w:r>
    </w:p>
    <w:p w14:paraId="33087EE0">
      <w:pPr>
        <w:pStyle w:val="174"/>
      </w:pPr>
      <w:r>
        <w:rPr>
          <w:rFonts w:hint="eastAsia"/>
        </w:rPr>
        <w:t>商标；</w:t>
      </w:r>
    </w:p>
    <w:p w14:paraId="67F82FB7">
      <w:pPr>
        <w:pStyle w:val="174"/>
      </w:pPr>
      <w:r>
        <w:rPr>
          <w:rFonts w:hint="eastAsia"/>
        </w:rPr>
        <w:t>制造商；</w:t>
      </w:r>
    </w:p>
    <w:p w14:paraId="374B5F3D">
      <w:pPr>
        <w:pStyle w:val="174"/>
      </w:pPr>
      <w:r>
        <w:rPr>
          <w:rFonts w:hint="eastAsia"/>
        </w:rPr>
        <w:t>净重；</w:t>
      </w:r>
    </w:p>
    <w:p w14:paraId="6191863E">
      <w:pPr>
        <w:pStyle w:val="174"/>
      </w:pPr>
      <w:r>
        <w:rPr>
          <w:rFonts w:hint="eastAsia"/>
        </w:rPr>
        <w:t>执行标准；</w:t>
      </w:r>
    </w:p>
    <w:p w14:paraId="26D7E59F">
      <w:pPr>
        <w:pStyle w:val="174"/>
      </w:pPr>
      <w:r>
        <w:rPr>
          <w:rFonts w:hint="eastAsia"/>
        </w:rPr>
        <w:t>生产日期或批号；</w:t>
      </w:r>
    </w:p>
    <w:p w14:paraId="4390CA38">
      <w:pPr>
        <w:pStyle w:val="174"/>
      </w:pPr>
      <w:r>
        <w:rPr>
          <w:rFonts w:hint="eastAsia"/>
        </w:rPr>
        <w:t>检验标识。</w:t>
      </w:r>
    </w:p>
    <w:p w14:paraId="24AAAECC">
      <w:pPr>
        <w:pStyle w:val="104"/>
        <w:spacing w:before="240" w:after="240" w:line="278" w:lineRule="auto"/>
        <w:rPr>
          <w:szCs w:val="21"/>
        </w:rPr>
      </w:pPr>
      <w:r>
        <w:rPr>
          <w:rFonts w:hint="eastAsia"/>
          <w:szCs w:val="21"/>
        </w:rPr>
        <w:t>检验规则</w:t>
      </w:r>
    </w:p>
    <w:p w14:paraId="43008387">
      <w:pPr>
        <w:pStyle w:val="105"/>
        <w:spacing w:before="120" w:after="120" w:line="278" w:lineRule="auto"/>
        <w:rPr>
          <w:szCs w:val="22"/>
        </w:rPr>
      </w:pPr>
      <w:r>
        <w:rPr>
          <w:rFonts w:hint="eastAsia"/>
          <w:szCs w:val="22"/>
        </w:rPr>
        <w:t>鉴定检验</w:t>
      </w:r>
    </w:p>
    <w:p w14:paraId="05C2AD76">
      <w:pPr>
        <w:pStyle w:val="65"/>
        <w:spacing w:before="120" w:after="120" w:line="278" w:lineRule="auto"/>
        <w:rPr>
          <w:szCs w:val="22"/>
        </w:rPr>
      </w:pPr>
      <w:r>
        <w:rPr>
          <w:rFonts w:hint="eastAsia"/>
          <w:szCs w:val="22"/>
        </w:rPr>
        <w:t>检验时机</w:t>
      </w:r>
    </w:p>
    <w:p w14:paraId="18852C0F">
      <w:pPr>
        <w:pStyle w:val="56"/>
        <w:autoSpaceDE/>
        <w:autoSpaceDN/>
        <w:ind w:firstLine="420"/>
      </w:pPr>
      <w:r>
        <w:rPr>
          <w:rFonts w:hint="eastAsia"/>
        </w:rPr>
        <w:t>满足一下任一情况时</w:t>
      </w:r>
      <w:r>
        <w:t>应进行鉴定检验</w:t>
      </w:r>
      <w:r>
        <w:rPr>
          <w:rFonts w:hint="eastAsia"/>
        </w:rPr>
        <w:t>：</w:t>
      </w:r>
    </w:p>
    <w:p w14:paraId="47F80B06">
      <w:pPr>
        <w:pStyle w:val="132"/>
      </w:pPr>
      <w:r>
        <w:rPr>
          <w:rFonts w:hint="eastAsia"/>
        </w:rPr>
        <w:t>新产品</w:t>
      </w:r>
      <w:r>
        <w:t>投产或产品转</w:t>
      </w:r>
      <w:r>
        <w:rPr>
          <w:rFonts w:hint="eastAsia"/>
        </w:rPr>
        <w:t>厂</w:t>
      </w:r>
      <w:r>
        <w:t>生产</w:t>
      </w:r>
      <w:r>
        <w:rPr>
          <w:rFonts w:hint="eastAsia"/>
        </w:rPr>
        <w:t>；</w:t>
      </w:r>
    </w:p>
    <w:p w14:paraId="11CBBB47">
      <w:pPr>
        <w:pStyle w:val="132"/>
      </w:pPr>
      <w:r>
        <w:t>生产过程设备、工艺重大改变</w:t>
      </w:r>
      <w:r>
        <w:rPr>
          <w:rFonts w:hint="eastAsia"/>
        </w:rPr>
        <w:t>；</w:t>
      </w:r>
    </w:p>
    <w:p w14:paraId="4FDC3AF4">
      <w:pPr>
        <w:pStyle w:val="132"/>
      </w:pPr>
      <w:r>
        <w:t>胶乳产地、树种的变更</w:t>
      </w:r>
      <w:r>
        <w:rPr>
          <w:rFonts w:hint="eastAsia"/>
        </w:rPr>
        <w:t>；</w:t>
      </w:r>
    </w:p>
    <w:p w14:paraId="4ECE8A44">
      <w:pPr>
        <w:pStyle w:val="132"/>
      </w:pPr>
      <w:r>
        <w:t>质量一致性检验结果与鉴定检验结果有较大差异时。</w:t>
      </w:r>
    </w:p>
    <w:p w14:paraId="649B348F">
      <w:pPr>
        <w:pStyle w:val="179"/>
        <w:autoSpaceDE/>
        <w:autoSpaceDN/>
      </w:pPr>
      <w:r>
        <w:t>连续生产时，每年</w:t>
      </w:r>
      <w:r>
        <w:rPr>
          <w:rFonts w:hint="eastAsia"/>
        </w:rPr>
        <w:t>按照</w:t>
      </w:r>
      <w:r>
        <w:t>鉴定检验项</w:t>
      </w:r>
      <w:r>
        <w:rPr>
          <w:rFonts w:ascii="Times New Roman"/>
        </w:rPr>
        <w:t>目进行1次全</w:t>
      </w:r>
      <w:r>
        <w:rPr>
          <w:rFonts w:hint="eastAsia"/>
        </w:rPr>
        <w:t>项目</w:t>
      </w:r>
      <w:r>
        <w:t>确认检验</w:t>
      </w:r>
      <w:r>
        <w:rPr>
          <w:szCs w:val="20"/>
        </w:rPr>
        <w:t>。</w:t>
      </w:r>
    </w:p>
    <w:p w14:paraId="313C3455">
      <w:pPr>
        <w:pStyle w:val="65"/>
        <w:spacing w:before="120" w:after="120" w:line="278" w:lineRule="auto"/>
        <w:rPr>
          <w:szCs w:val="22"/>
        </w:rPr>
      </w:pPr>
      <w:r>
        <w:rPr>
          <w:rFonts w:hint="eastAsia"/>
          <w:szCs w:val="22"/>
        </w:rPr>
        <w:t>样品数量</w:t>
      </w:r>
    </w:p>
    <w:p w14:paraId="6DB0674F">
      <w:pPr>
        <w:pStyle w:val="56"/>
        <w:autoSpaceDE/>
        <w:autoSpaceDN/>
        <w:ind w:firstLine="420"/>
      </w:pPr>
      <w:r>
        <w:t>1</w:t>
      </w:r>
      <w:r>
        <w:rPr>
          <w:rFonts w:hint="eastAsia"/>
        </w:rPr>
        <w:t>包。</w:t>
      </w:r>
    </w:p>
    <w:p w14:paraId="23783803">
      <w:pPr>
        <w:pStyle w:val="65"/>
        <w:spacing w:before="120" w:after="120" w:line="278" w:lineRule="auto"/>
        <w:rPr>
          <w:szCs w:val="22"/>
        </w:rPr>
      </w:pPr>
      <w:r>
        <w:rPr>
          <w:rFonts w:hint="eastAsia"/>
          <w:szCs w:val="22"/>
        </w:rPr>
        <w:t>检验项目</w:t>
      </w:r>
    </w:p>
    <w:p w14:paraId="56099DBC">
      <w:pPr>
        <w:pStyle w:val="56"/>
        <w:autoSpaceDE/>
        <w:autoSpaceDN/>
        <w:ind w:firstLine="420"/>
      </w:pPr>
      <w:r>
        <w:rPr>
          <w:rFonts w:hint="eastAsia"/>
        </w:rPr>
        <w:t>除另有规定外，鉴定检验的项目按</w:t>
      </w:r>
      <w:r>
        <w:rPr>
          <w:rFonts w:ascii="Times New Roman"/>
        </w:rPr>
        <w:t>表2</w:t>
      </w:r>
      <w:r>
        <w:rPr>
          <w:rFonts w:hint="eastAsia"/>
        </w:rPr>
        <w:t>的规定执行。</w:t>
      </w:r>
    </w:p>
    <w:p w14:paraId="49F51C8C">
      <w:pPr>
        <w:pStyle w:val="112"/>
        <w:spacing w:before="120" w:after="120"/>
      </w:pPr>
      <w:r>
        <w:rPr>
          <w:rFonts w:hint="eastAsia"/>
        </w:rPr>
        <w:t>检验项目</w:t>
      </w:r>
    </w:p>
    <w:tbl>
      <w:tblPr>
        <w:tblStyle w:val="27"/>
        <w:tblW w:w="65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985"/>
        <w:gridCol w:w="992"/>
        <w:gridCol w:w="1418"/>
        <w:gridCol w:w="1417"/>
      </w:tblGrid>
      <w:tr w14:paraId="2D54E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694" w:type="dxa"/>
            <w:vMerge w:val="restart"/>
            <w:tcBorders>
              <w:bottom w:val="single" w:color="auto" w:sz="12" w:space="0"/>
            </w:tcBorders>
            <w:vAlign w:val="center"/>
          </w:tcPr>
          <w:p w14:paraId="5B550C3C">
            <w:pPr>
              <w:spacing w:line="240" w:lineRule="auto"/>
              <w:ind w:left="-105" w:leftChars="-50" w:right="-105" w:rightChars="-50"/>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序号</w:t>
            </w:r>
          </w:p>
        </w:tc>
        <w:tc>
          <w:tcPr>
            <w:tcW w:w="1985" w:type="dxa"/>
            <w:vMerge w:val="restart"/>
            <w:tcBorders>
              <w:bottom w:val="single" w:color="auto" w:sz="12" w:space="0"/>
            </w:tcBorders>
            <w:vAlign w:val="center"/>
          </w:tcPr>
          <w:p w14:paraId="68C350C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检验项目</w:t>
            </w:r>
          </w:p>
        </w:tc>
        <w:tc>
          <w:tcPr>
            <w:tcW w:w="992" w:type="dxa"/>
            <w:vMerge w:val="restart"/>
            <w:tcBorders>
              <w:bottom w:val="single" w:color="auto" w:sz="12" w:space="0"/>
            </w:tcBorders>
            <w:vAlign w:val="center"/>
          </w:tcPr>
          <w:p w14:paraId="27FEF395">
            <w:pPr>
              <w:spacing w:line="240" w:lineRule="auto"/>
              <w:ind w:left="-105" w:leftChars="-50" w:right="-105" w:rightChars="-50"/>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鉴定检验</w:t>
            </w:r>
          </w:p>
        </w:tc>
        <w:tc>
          <w:tcPr>
            <w:tcW w:w="1418" w:type="dxa"/>
            <w:vMerge w:val="restart"/>
            <w:tcBorders>
              <w:bottom w:val="single" w:color="auto" w:sz="12" w:space="0"/>
            </w:tcBorders>
            <w:vAlign w:val="center"/>
          </w:tcPr>
          <w:p w14:paraId="7AD3565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要求</w:t>
            </w:r>
          </w:p>
          <w:p w14:paraId="18A374A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章条号</w:t>
            </w:r>
          </w:p>
        </w:tc>
        <w:tc>
          <w:tcPr>
            <w:tcW w:w="1417" w:type="dxa"/>
            <w:vMerge w:val="restart"/>
            <w:tcBorders>
              <w:bottom w:val="single" w:color="auto" w:sz="12" w:space="0"/>
            </w:tcBorders>
            <w:vAlign w:val="center"/>
          </w:tcPr>
          <w:p w14:paraId="51BF4E6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检验方法</w:t>
            </w:r>
          </w:p>
          <w:p w14:paraId="332F016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章条号</w:t>
            </w:r>
          </w:p>
        </w:tc>
      </w:tr>
      <w:tr w14:paraId="27F95E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Merge w:val="continue"/>
            <w:tcBorders>
              <w:top w:val="single" w:color="auto" w:sz="12" w:space="0"/>
              <w:bottom w:val="single" w:color="auto" w:sz="12" w:space="0"/>
            </w:tcBorders>
            <w:vAlign w:val="center"/>
          </w:tcPr>
          <w:p w14:paraId="2D80CA11">
            <w:pPr>
              <w:spacing w:line="240" w:lineRule="auto"/>
              <w:jc w:val="center"/>
              <w:rPr>
                <w:rFonts w:ascii="Times New Roman" w:hAnsi="Times New Roman"/>
                <w:color w:val="000000" w:themeColor="text1"/>
                <w:sz w:val="18"/>
                <w:szCs w:val="18"/>
                <w14:textFill>
                  <w14:solidFill>
                    <w14:schemeClr w14:val="tx1"/>
                  </w14:solidFill>
                </w14:textFill>
              </w:rPr>
            </w:pPr>
          </w:p>
        </w:tc>
        <w:tc>
          <w:tcPr>
            <w:tcW w:w="1985" w:type="dxa"/>
            <w:vMerge w:val="continue"/>
            <w:tcBorders>
              <w:top w:val="single" w:color="auto" w:sz="12" w:space="0"/>
              <w:bottom w:val="single" w:color="auto" w:sz="12" w:space="0"/>
            </w:tcBorders>
            <w:vAlign w:val="center"/>
          </w:tcPr>
          <w:p w14:paraId="40D4CCA9">
            <w:pPr>
              <w:spacing w:line="240" w:lineRule="auto"/>
              <w:jc w:val="center"/>
              <w:rPr>
                <w:rFonts w:ascii="Times New Roman" w:hAnsi="Times New Roman"/>
                <w:color w:val="000000" w:themeColor="text1"/>
                <w:sz w:val="18"/>
                <w:szCs w:val="18"/>
                <w14:textFill>
                  <w14:solidFill>
                    <w14:schemeClr w14:val="tx1"/>
                  </w14:solidFill>
                </w14:textFill>
              </w:rPr>
            </w:pPr>
          </w:p>
        </w:tc>
        <w:tc>
          <w:tcPr>
            <w:tcW w:w="992" w:type="dxa"/>
            <w:vMerge w:val="continue"/>
            <w:tcBorders>
              <w:top w:val="single" w:color="auto" w:sz="12" w:space="0"/>
              <w:bottom w:val="single" w:color="auto" w:sz="12" w:space="0"/>
            </w:tcBorders>
            <w:vAlign w:val="center"/>
          </w:tcPr>
          <w:p w14:paraId="3EBC4B1B">
            <w:pPr>
              <w:spacing w:line="240" w:lineRule="auto"/>
              <w:ind w:left="-105" w:leftChars="-50" w:right="-105" w:rightChars="-50"/>
              <w:jc w:val="center"/>
              <w:rPr>
                <w:rFonts w:ascii="Times New Roman" w:hAnsi="Times New Roman"/>
                <w:color w:val="000000" w:themeColor="text1"/>
                <w:sz w:val="18"/>
                <w:szCs w:val="18"/>
                <w14:textFill>
                  <w14:solidFill>
                    <w14:schemeClr w14:val="tx1"/>
                  </w14:solidFill>
                </w14:textFill>
              </w:rPr>
            </w:pPr>
          </w:p>
        </w:tc>
        <w:tc>
          <w:tcPr>
            <w:tcW w:w="1418" w:type="dxa"/>
            <w:vMerge w:val="continue"/>
            <w:tcBorders>
              <w:top w:val="single" w:color="auto" w:sz="12" w:space="0"/>
              <w:bottom w:val="single" w:color="auto" w:sz="12" w:space="0"/>
            </w:tcBorders>
            <w:vAlign w:val="center"/>
          </w:tcPr>
          <w:p w14:paraId="589A313C">
            <w:pPr>
              <w:spacing w:line="240" w:lineRule="auto"/>
              <w:jc w:val="center"/>
              <w:rPr>
                <w:rFonts w:ascii="Times New Roman" w:hAnsi="Times New Roman"/>
                <w:color w:val="000000" w:themeColor="text1"/>
                <w:sz w:val="18"/>
                <w:szCs w:val="18"/>
                <w14:textFill>
                  <w14:solidFill>
                    <w14:schemeClr w14:val="tx1"/>
                  </w14:solidFill>
                </w14:textFill>
              </w:rPr>
            </w:pPr>
          </w:p>
        </w:tc>
        <w:tc>
          <w:tcPr>
            <w:tcW w:w="1417" w:type="dxa"/>
            <w:vMerge w:val="continue"/>
            <w:tcBorders>
              <w:top w:val="single" w:color="auto" w:sz="12" w:space="0"/>
              <w:bottom w:val="single" w:color="auto" w:sz="12" w:space="0"/>
            </w:tcBorders>
            <w:vAlign w:val="center"/>
          </w:tcPr>
          <w:p w14:paraId="2E5FB040">
            <w:pPr>
              <w:spacing w:line="240" w:lineRule="auto"/>
              <w:jc w:val="center"/>
              <w:rPr>
                <w:rFonts w:ascii="Times New Roman" w:hAnsi="Times New Roman"/>
                <w:color w:val="000000" w:themeColor="text1"/>
                <w:sz w:val="18"/>
                <w:szCs w:val="18"/>
                <w14:textFill>
                  <w14:solidFill>
                    <w14:schemeClr w14:val="tx1"/>
                  </w14:solidFill>
                </w14:textFill>
              </w:rPr>
            </w:pPr>
          </w:p>
        </w:tc>
      </w:tr>
      <w:tr w14:paraId="0A94AE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tcBorders>
              <w:top w:val="single" w:color="auto" w:sz="12" w:space="0"/>
            </w:tcBorders>
            <w:vAlign w:val="center"/>
          </w:tcPr>
          <w:p w14:paraId="24B844E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p>
        </w:tc>
        <w:tc>
          <w:tcPr>
            <w:tcW w:w="1985" w:type="dxa"/>
            <w:tcBorders>
              <w:top w:val="single" w:color="auto" w:sz="12" w:space="0"/>
            </w:tcBorders>
            <w:vAlign w:val="center"/>
          </w:tcPr>
          <w:p w14:paraId="4C385A3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尺寸</w:t>
            </w:r>
          </w:p>
        </w:tc>
        <w:tc>
          <w:tcPr>
            <w:tcW w:w="992" w:type="dxa"/>
            <w:tcBorders>
              <w:top w:val="single" w:color="auto" w:sz="12" w:space="0"/>
            </w:tcBorders>
            <w:vAlign w:val="center"/>
          </w:tcPr>
          <w:p w14:paraId="28E9B2F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tcBorders>
              <w:top w:val="single" w:color="auto" w:sz="12" w:space="0"/>
            </w:tcBorders>
            <w:vAlign w:val="center"/>
          </w:tcPr>
          <w:p w14:paraId="28839668">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4.3.1.1</w:t>
            </w:r>
          </w:p>
        </w:tc>
        <w:tc>
          <w:tcPr>
            <w:tcW w:w="1417" w:type="dxa"/>
            <w:tcBorders>
              <w:top w:val="single" w:color="auto" w:sz="12" w:space="0"/>
            </w:tcBorders>
            <w:vAlign w:val="center"/>
          </w:tcPr>
          <w:p w14:paraId="5B2DE41A">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6.1</w:t>
            </w:r>
          </w:p>
        </w:tc>
      </w:tr>
      <w:tr w14:paraId="0AC1F3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0504F99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1985" w:type="dxa"/>
            <w:vAlign w:val="center"/>
          </w:tcPr>
          <w:p w14:paraId="2AE84DF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重量</w:t>
            </w:r>
          </w:p>
        </w:tc>
        <w:tc>
          <w:tcPr>
            <w:tcW w:w="992" w:type="dxa"/>
            <w:vAlign w:val="center"/>
          </w:tcPr>
          <w:p w14:paraId="2D036EA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77B88415">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4.3.1.2</w:t>
            </w:r>
          </w:p>
        </w:tc>
        <w:tc>
          <w:tcPr>
            <w:tcW w:w="1417" w:type="dxa"/>
            <w:vAlign w:val="center"/>
          </w:tcPr>
          <w:p w14:paraId="7CB01927">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6.1</w:t>
            </w:r>
          </w:p>
        </w:tc>
      </w:tr>
      <w:tr w14:paraId="0EDDB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4DA21CE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1985" w:type="dxa"/>
            <w:vAlign w:val="center"/>
          </w:tcPr>
          <w:p w14:paraId="5F3C069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标志</w:t>
            </w:r>
          </w:p>
        </w:tc>
        <w:tc>
          <w:tcPr>
            <w:tcW w:w="992" w:type="dxa"/>
            <w:vAlign w:val="center"/>
          </w:tcPr>
          <w:p w14:paraId="1CD5909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4817EFFB">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4.3.2</w:t>
            </w:r>
          </w:p>
        </w:tc>
        <w:tc>
          <w:tcPr>
            <w:tcW w:w="1417" w:type="dxa"/>
            <w:vAlign w:val="center"/>
          </w:tcPr>
          <w:p w14:paraId="595E39D6">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6.1</w:t>
            </w:r>
          </w:p>
        </w:tc>
      </w:tr>
      <w:tr w14:paraId="6B4A3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6A93C13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1985" w:type="dxa"/>
            <w:vAlign w:val="center"/>
          </w:tcPr>
          <w:p w14:paraId="4167B1E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外观质量</w:t>
            </w:r>
          </w:p>
        </w:tc>
        <w:tc>
          <w:tcPr>
            <w:tcW w:w="992" w:type="dxa"/>
            <w:vAlign w:val="center"/>
          </w:tcPr>
          <w:p w14:paraId="42216FE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17CE70C5">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4.2</w:t>
            </w:r>
          </w:p>
        </w:tc>
        <w:tc>
          <w:tcPr>
            <w:tcW w:w="1417" w:type="dxa"/>
            <w:vAlign w:val="center"/>
          </w:tcPr>
          <w:p w14:paraId="65C90177">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6.2</w:t>
            </w:r>
          </w:p>
        </w:tc>
      </w:tr>
      <w:tr w14:paraId="186CBC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18807DD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w:t>
            </w:r>
          </w:p>
        </w:tc>
        <w:tc>
          <w:tcPr>
            <w:tcW w:w="1985" w:type="dxa"/>
            <w:vAlign w:val="center"/>
          </w:tcPr>
          <w:p w14:paraId="146982F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挥发份</w:t>
            </w:r>
          </w:p>
        </w:tc>
        <w:tc>
          <w:tcPr>
            <w:tcW w:w="992" w:type="dxa"/>
            <w:vAlign w:val="center"/>
          </w:tcPr>
          <w:p w14:paraId="2ED31FD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74796593">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4.1</w:t>
            </w:r>
          </w:p>
        </w:tc>
        <w:tc>
          <w:tcPr>
            <w:tcW w:w="1417" w:type="dxa"/>
            <w:vAlign w:val="center"/>
          </w:tcPr>
          <w:p w14:paraId="703ABCDF">
            <w:pPr>
              <w:spacing w:line="240" w:lineRule="auto"/>
              <w:ind w:left="-105" w:leftChars="-50" w:right="-105" w:rightChars="-50"/>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4D1CEA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1E8C816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w:t>
            </w:r>
          </w:p>
        </w:tc>
        <w:tc>
          <w:tcPr>
            <w:tcW w:w="1985" w:type="dxa"/>
            <w:vAlign w:val="center"/>
          </w:tcPr>
          <w:p w14:paraId="0F4DAA0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灰分</w:t>
            </w:r>
          </w:p>
        </w:tc>
        <w:tc>
          <w:tcPr>
            <w:tcW w:w="992" w:type="dxa"/>
            <w:vAlign w:val="center"/>
          </w:tcPr>
          <w:p w14:paraId="3181C02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59B5E65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32539F8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1D9933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6962908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w:t>
            </w:r>
          </w:p>
        </w:tc>
        <w:tc>
          <w:tcPr>
            <w:tcW w:w="1985" w:type="dxa"/>
            <w:vAlign w:val="center"/>
          </w:tcPr>
          <w:p w14:paraId="054FB46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氮含量</w:t>
            </w:r>
          </w:p>
        </w:tc>
        <w:tc>
          <w:tcPr>
            <w:tcW w:w="992" w:type="dxa"/>
            <w:vAlign w:val="center"/>
          </w:tcPr>
          <w:p w14:paraId="5DC7DA8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57187A50">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4.1</w:t>
            </w:r>
          </w:p>
        </w:tc>
        <w:tc>
          <w:tcPr>
            <w:tcW w:w="1417" w:type="dxa"/>
            <w:vAlign w:val="center"/>
          </w:tcPr>
          <w:p w14:paraId="61192B26">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6.3</w:t>
            </w:r>
          </w:p>
        </w:tc>
      </w:tr>
      <w:tr w14:paraId="52F615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19619DF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w:t>
            </w:r>
          </w:p>
        </w:tc>
        <w:tc>
          <w:tcPr>
            <w:tcW w:w="1985" w:type="dxa"/>
            <w:vAlign w:val="center"/>
          </w:tcPr>
          <w:p w14:paraId="50F5E63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水溶物</w:t>
            </w:r>
          </w:p>
        </w:tc>
        <w:tc>
          <w:tcPr>
            <w:tcW w:w="992" w:type="dxa"/>
            <w:vAlign w:val="center"/>
          </w:tcPr>
          <w:p w14:paraId="048CE15D">
            <w:pPr>
              <w:spacing w:line="240" w:lineRule="auto"/>
              <w:jc w:val="center"/>
              <w:rPr>
                <w:rFonts w:ascii="Times New Roman" w:hAnsi="Times New Roman"/>
                <w:kern w:val="0"/>
                <w:sz w:val="18"/>
                <w:szCs w:val="18"/>
              </w:rPr>
            </w:pPr>
            <w:r>
              <w:rPr>
                <w:rFonts w:ascii="Times New Roman" w:hAnsi="Times New Roman"/>
                <w:kern w:val="0"/>
                <w:sz w:val="18"/>
                <w:szCs w:val="18"/>
              </w:rPr>
              <w:t>●</w:t>
            </w:r>
          </w:p>
        </w:tc>
        <w:tc>
          <w:tcPr>
            <w:tcW w:w="1418" w:type="dxa"/>
            <w:vAlign w:val="center"/>
          </w:tcPr>
          <w:p w14:paraId="2BAE4E0E">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4.1</w:t>
            </w:r>
          </w:p>
        </w:tc>
        <w:tc>
          <w:tcPr>
            <w:tcW w:w="1417" w:type="dxa"/>
            <w:vAlign w:val="center"/>
          </w:tcPr>
          <w:p w14:paraId="58F53B70">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6.3</w:t>
            </w:r>
          </w:p>
        </w:tc>
      </w:tr>
      <w:tr w14:paraId="7C0AB5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459253A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w:t>
            </w:r>
          </w:p>
        </w:tc>
        <w:tc>
          <w:tcPr>
            <w:tcW w:w="1985" w:type="dxa"/>
            <w:vAlign w:val="center"/>
          </w:tcPr>
          <w:p w14:paraId="199F6BB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杂质</w:t>
            </w:r>
          </w:p>
        </w:tc>
        <w:tc>
          <w:tcPr>
            <w:tcW w:w="992" w:type="dxa"/>
            <w:vAlign w:val="center"/>
          </w:tcPr>
          <w:p w14:paraId="13F4C4C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302D794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5B919B9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5637C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41E905D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w:t>
            </w:r>
          </w:p>
        </w:tc>
        <w:tc>
          <w:tcPr>
            <w:tcW w:w="1985" w:type="dxa"/>
            <w:vAlign w:val="center"/>
          </w:tcPr>
          <w:p w14:paraId="2392E2E7">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丙酮抽出物</w:t>
            </w:r>
          </w:p>
        </w:tc>
        <w:tc>
          <w:tcPr>
            <w:tcW w:w="992" w:type="dxa"/>
            <w:vAlign w:val="center"/>
          </w:tcPr>
          <w:p w14:paraId="551775CF">
            <w:pPr>
              <w:spacing w:line="240" w:lineRule="auto"/>
              <w:jc w:val="center"/>
              <w:rPr>
                <w:rFonts w:ascii="Times New Roman" w:hAnsi="Times New Roman"/>
                <w:color w:val="000000" w:themeColor="text1"/>
                <w:sz w:val="18"/>
                <w:szCs w:val="18"/>
                <w:highlight w:val="yellow"/>
                <w14:textFill>
                  <w14:solidFill>
                    <w14:schemeClr w14:val="tx1"/>
                  </w14:solidFill>
                </w14:textFill>
              </w:rPr>
            </w:pPr>
            <w:r>
              <w:rPr>
                <w:rFonts w:ascii="Times New Roman" w:hAnsi="Times New Roman"/>
                <w:kern w:val="0"/>
                <w:sz w:val="18"/>
                <w:szCs w:val="18"/>
              </w:rPr>
              <w:t>●</w:t>
            </w:r>
          </w:p>
        </w:tc>
        <w:tc>
          <w:tcPr>
            <w:tcW w:w="1418" w:type="dxa"/>
            <w:vAlign w:val="center"/>
          </w:tcPr>
          <w:p w14:paraId="000F616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6917EEF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39745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351D9D1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11</w:t>
            </w:r>
          </w:p>
        </w:tc>
        <w:tc>
          <w:tcPr>
            <w:tcW w:w="1985" w:type="dxa"/>
            <w:vAlign w:val="center"/>
          </w:tcPr>
          <w:p w14:paraId="4C2009F7">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门尼粘度</w:t>
            </w:r>
          </w:p>
        </w:tc>
        <w:tc>
          <w:tcPr>
            <w:tcW w:w="992" w:type="dxa"/>
            <w:vAlign w:val="center"/>
          </w:tcPr>
          <w:p w14:paraId="042B32A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084410E9">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4.1</w:t>
            </w:r>
          </w:p>
        </w:tc>
        <w:tc>
          <w:tcPr>
            <w:tcW w:w="1417" w:type="dxa"/>
            <w:vAlign w:val="center"/>
          </w:tcPr>
          <w:p w14:paraId="36496A00">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6.3</w:t>
            </w:r>
          </w:p>
        </w:tc>
      </w:tr>
      <w:tr w14:paraId="5D13A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3EC9263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12</w:t>
            </w:r>
          </w:p>
        </w:tc>
        <w:tc>
          <w:tcPr>
            <w:tcW w:w="1985" w:type="dxa"/>
            <w:vAlign w:val="center"/>
          </w:tcPr>
          <w:p w14:paraId="45CC5F0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拉伸强度</w:t>
            </w:r>
          </w:p>
        </w:tc>
        <w:tc>
          <w:tcPr>
            <w:tcW w:w="992" w:type="dxa"/>
            <w:vAlign w:val="center"/>
          </w:tcPr>
          <w:p w14:paraId="4C6769B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364F4BDA">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4.1</w:t>
            </w:r>
          </w:p>
        </w:tc>
        <w:tc>
          <w:tcPr>
            <w:tcW w:w="1417" w:type="dxa"/>
            <w:vAlign w:val="center"/>
          </w:tcPr>
          <w:p w14:paraId="1B1DB0C8">
            <w:pPr>
              <w:pStyle w:val="228"/>
              <w:autoSpaceDE/>
              <w:autoSpaceDN/>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6.3</w:t>
            </w:r>
          </w:p>
        </w:tc>
      </w:tr>
      <w:tr w14:paraId="5DA64F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54F4CF0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w:t>
            </w:r>
          </w:p>
        </w:tc>
        <w:tc>
          <w:tcPr>
            <w:tcW w:w="1985" w:type="dxa"/>
            <w:vAlign w:val="center"/>
          </w:tcPr>
          <w:p w14:paraId="4EB793A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拉断伸长率</w:t>
            </w:r>
          </w:p>
        </w:tc>
        <w:tc>
          <w:tcPr>
            <w:tcW w:w="992" w:type="dxa"/>
            <w:vAlign w:val="center"/>
          </w:tcPr>
          <w:p w14:paraId="73A8C33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2C55E26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75DA958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456BD0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504F5DE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w:t>
            </w:r>
          </w:p>
        </w:tc>
        <w:tc>
          <w:tcPr>
            <w:tcW w:w="1985" w:type="dxa"/>
            <w:vAlign w:val="center"/>
          </w:tcPr>
          <w:p w14:paraId="0FD36F1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硬度</w:t>
            </w:r>
          </w:p>
        </w:tc>
        <w:tc>
          <w:tcPr>
            <w:tcW w:w="992" w:type="dxa"/>
            <w:vAlign w:val="center"/>
          </w:tcPr>
          <w:p w14:paraId="3D59BA5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364DA40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5B9A318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6CDBE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543CF01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w:t>
            </w:r>
          </w:p>
        </w:tc>
        <w:tc>
          <w:tcPr>
            <w:tcW w:w="1985" w:type="dxa"/>
            <w:vAlign w:val="center"/>
          </w:tcPr>
          <w:p w14:paraId="40D3AA6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500％定伸应力</w:t>
            </w:r>
          </w:p>
        </w:tc>
        <w:tc>
          <w:tcPr>
            <w:tcW w:w="992" w:type="dxa"/>
            <w:vAlign w:val="center"/>
          </w:tcPr>
          <w:p w14:paraId="133DEC0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499530A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7B7905A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2F59E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4ACDE89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w:t>
            </w:r>
          </w:p>
        </w:tc>
        <w:tc>
          <w:tcPr>
            <w:tcW w:w="1985" w:type="dxa"/>
            <w:vAlign w:val="center"/>
          </w:tcPr>
          <w:p w14:paraId="585FE88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撕裂强度</w:t>
            </w:r>
          </w:p>
        </w:tc>
        <w:tc>
          <w:tcPr>
            <w:tcW w:w="992" w:type="dxa"/>
            <w:vAlign w:val="center"/>
          </w:tcPr>
          <w:p w14:paraId="726770E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0564530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74D1CAB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2FCD5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27F4462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w:t>
            </w:r>
          </w:p>
        </w:tc>
        <w:tc>
          <w:tcPr>
            <w:tcW w:w="1985" w:type="dxa"/>
            <w:vAlign w:val="center"/>
          </w:tcPr>
          <w:p w14:paraId="61333A0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压缩生热</w:t>
            </w:r>
          </w:p>
        </w:tc>
        <w:tc>
          <w:tcPr>
            <w:tcW w:w="992" w:type="dxa"/>
            <w:vAlign w:val="center"/>
          </w:tcPr>
          <w:p w14:paraId="0546EB4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0CBDB60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64FBED5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320449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738AF6F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w:t>
            </w:r>
          </w:p>
        </w:tc>
        <w:tc>
          <w:tcPr>
            <w:tcW w:w="1985" w:type="dxa"/>
            <w:vAlign w:val="center"/>
          </w:tcPr>
          <w:p w14:paraId="35322E6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塑性初值（P</w:t>
            </w:r>
            <w:r>
              <w:rPr>
                <w:rFonts w:ascii="Times New Roman" w:hAnsi="Times New Roman"/>
                <w:color w:val="000000" w:themeColor="text1"/>
                <w:sz w:val="18"/>
                <w:szCs w:val="18"/>
                <w:vertAlign w:val="subscript"/>
                <w14:textFill>
                  <w14:solidFill>
                    <w14:schemeClr w14:val="tx1"/>
                  </w14:solidFill>
                </w14:textFill>
              </w:rPr>
              <w:t>0</w:t>
            </w:r>
            <w:r>
              <w:rPr>
                <w:rFonts w:ascii="Times New Roman" w:hAnsi="Times New Roman"/>
                <w:color w:val="000000" w:themeColor="text1"/>
                <w:sz w:val="18"/>
                <w:szCs w:val="18"/>
                <w14:textFill>
                  <w14:solidFill>
                    <w14:schemeClr w14:val="tx1"/>
                  </w14:solidFill>
                </w14:textFill>
              </w:rPr>
              <w:t>）</w:t>
            </w:r>
          </w:p>
        </w:tc>
        <w:tc>
          <w:tcPr>
            <w:tcW w:w="992" w:type="dxa"/>
            <w:vAlign w:val="center"/>
          </w:tcPr>
          <w:p w14:paraId="612B5E9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57D7B42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0926D69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6F222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vAlign w:val="center"/>
          </w:tcPr>
          <w:p w14:paraId="69905EF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w:t>
            </w:r>
          </w:p>
        </w:tc>
        <w:tc>
          <w:tcPr>
            <w:tcW w:w="1985" w:type="dxa"/>
            <w:vAlign w:val="center"/>
          </w:tcPr>
          <w:p w14:paraId="62972E19">
            <w:pPr>
              <w:spacing w:line="240" w:lineRule="auto"/>
              <w:ind w:left="-105" w:leftChars="-50" w:right="-105" w:rightChars="-50"/>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塑性保持率（PRI）</w:t>
            </w:r>
          </w:p>
        </w:tc>
        <w:tc>
          <w:tcPr>
            <w:tcW w:w="992" w:type="dxa"/>
            <w:vAlign w:val="center"/>
          </w:tcPr>
          <w:p w14:paraId="5CD05A2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kern w:val="0"/>
                <w:sz w:val="18"/>
                <w:szCs w:val="18"/>
              </w:rPr>
              <w:t>●</w:t>
            </w:r>
          </w:p>
        </w:tc>
        <w:tc>
          <w:tcPr>
            <w:tcW w:w="1418" w:type="dxa"/>
            <w:vAlign w:val="center"/>
          </w:tcPr>
          <w:p w14:paraId="401FB20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vAlign w:val="center"/>
          </w:tcPr>
          <w:p w14:paraId="1AFCCBC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593FA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4" w:type="dxa"/>
            <w:tcBorders>
              <w:bottom w:val="single" w:color="auto" w:sz="12" w:space="0"/>
            </w:tcBorders>
            <w:vAlign w:val="center"/>
          </w:tcPr>
          <w:p w14:paraId="0BE3E2B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w:t>
            </w:r>
          </w:p>
        </w:tc>
        <w:tc>
          <w:tcPr>
            <w:tcW w:w="1985" w:type="dxa"/>
            <w:tcBorders>
              <w:bottom w:val="single" w:color="auto" w:sz="12" w:space="0"/>
            </w:tcBorders>
            <w:vAlign w:val="center"/>
          </w:tcPr>
          <w:p w14:paraId="407D8988">
            <w:pPr>
              <w:spacing w:line="240" w:lineRule="auto"/>
              <w:ind w:left="-105" w:leftChars="-50" w:right="-105" w:rightChars="-50"/>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回弹值（PRI）</w:t>
            </w:r>
          </w:p>
        </w:tc>
        <w:tc>
          <w:tcPr>
            <w:tcW w:w="992" w:type="dxa"/>
            <w:tcBorders>
              <w:bottom w:val="single" w:color="auto" w:sz="12" w:space="0"/>
            </w:tcBorders>
            <w:vAlign w:val="center"/>
          </w:tcPr>
          <w:p w14:paraId="2B11F455">
            <w:pPr>
              <w:spacing w:line="240" w:lineRule="auto"/>
              <w:jc w:val="center"/>
              <w:rPr>
                <w:rFonts w:ascii="Times New Roman" w:hAnsi="Times New Roman"/>
                <w:kern w:val="0"/>
                <w:sz w:val="18"/>
                <w:szCs w:val="18"/>
              </w:rPr>
            </w:pPr>
            <w:r>
              <w:rPr>
                <w:rFonts w:ascii="Times New Roman" w:hAnsi="Times New Roman"/>
                <w:kern w:val="0"/>
                <w:sz w:val="18"/>
                <w:szCs w:val="18"/>
              </w:rPr>
              <w:t>●</w:t>
            </w:r>
          </w:p>
        </w:tc>
        <w:tc>
          <w:tcPr>
            <w:tcW w:w="1418" w:type="dxa"/>
            <w:tcBorders>
              <w:bottom w:val="single" w:color="auto" w:sz="12" w:space="0"/>
            </w:tcBorders>
            <w:vAlign w:val="center"/>
          </w:tcPr>
          <w:p w14:paraId="6AD7371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w:t>
            </w:r>
          </w:p>
        </w:tc>
        <w:tc>
          <w:tcPr>
            <w:tcW w:w="1417" w:type="dxa"/>
            <w:tcBorders>
              <w:bottom w:val="single" w:color="auto" w:sz="12" w:space="0"/>
            </w:tcBorders>
            <w:vAlign w:val="center"/>
          </w:tcPr>
          <w:p w14:paraId="5D6A7CB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w:t>
            </w:r>
          </w:p>
        </w:tc>
      </w:tr>
      <w:tr w14:paraId="040FB8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506" w:type="dxa"/>
            <w:gridSpan w:val="5"/>
            <w:tcBorders>
              <w:top w:val="single" w:color="auto" w:sz="12" w:space="0"/>
            </w:tcBorders>
            <w:vAlign w:val="center"/>
          </w:tcPr>
          <w:p w14:paraId="799FD733">
            <w:pPr>
              <w:pStyle w:val="179"/>
              <w:rPr>
                <w:rFonts w:ascii="Times New Roman"/>
                <w:color w:val="000000" w:themeColor="text1"/>
                <w14:textFill>
                  <w14:solidFill>
                    <w14:schemeClr w14:val="tx1"/>
                  </w14:solidFill>
                </w14:textFill>
              </w:rPr>
            </w:pPr>
            <w:r>
              <w:rPr>
                <w:rFonts w:ascii="Times New Roman"/>
              </w:rPr>
              <w:t>●必检项目；○订购方和承制方协商检验项目；—不检项目。</w:t>
            </w:r>
          </w:p>
        </w:tc>
      </w:tr>
    </w:tbl>
    <w:p w14:paraId="6A388651">
      <w:pPr>
        <w:spacing w:line="360" w:lineRule="auto"/>
        <w:rPr>
          <w:rFonts w:hint="eastAsia" w:ascii="黑体" w:hAnsi="黑体" w:eastAsia="黑体"/>
          <w:b/>
        </w:rPr>
      </w:pPr>
    </w:p>
    <w:p w14:paraId="1585CB69">
      <w:pPr>
        <w:pStyle w:val="65"/>
        <w:spacing w:before="120" w:after="120" w:line="278" w:lineRule="auto"/>
        <w:rPr>
          <w:szCs w:val="22"/>
        </w:rPr>
      </w:pPr>
      <w:r>
        <w:rPr>
          <w:rFonts w:hint="eastAsia"/>
          <w:szCs w:val="22"/>
        </w:rPr>
        <w:t>合格判据</w:t>
      </w:r>
    </w:p>
    <w:p w14:paraId="48D949E5">
      <w:pPr>
        <w:pStyle w:val="56"/>
        <w:autoSpaceDE/>
        <w:autoSpaceDN/>
        <w:ind w:firstLine="420"/>
      </w:pPr>
      <w:r>
        <w:rPr>
          <w:rFonts w:hint="eastAsia"/>
        </w:rPr>
        <w:t>若检验项目中</w:t>
      </w:r>
      <w:r>
        <w:rPr>
          <w:rFonts w:ascii="Times New Roman"/>
        </w:rPr>
        <w:t>有1项不</w:t>
      </w:r>
      <w:r>
        <w:rPr>
          <w:rFonts w:hint="eastAsia"/>
        </w:rPr>
        <w:t>符合本规范的要求时，则判定鉴定检验不合格。</w:t>
      </w:r>
    </w:p>
    <w:p w14:paraId="52F4AC5C">
      <w:pPr>
        <w:pStyle w:val="105"/>
        <w:spacing w:before="120" w:after="120" w:line="278" w:lineRule="auto"/>
        <w:rPr>
          <w:szCs w:val="22"/>
        </w:rPr>
      </w:pPr>
      <w:r>
        <w:rPr>
          <w:rFonts w:hint="eastAsia"/>
          <w:szCs w:val="22"/>
        </w:rPr>
        <w:t>包装和标志检验</w:t>
      </w:r>
    </w:p>
    <w:p w14:paraId="0F851AEB">
      <w:pPr>
        <w:pStyle w:val="65"/>
        <w:spacing w:before="120" w:after="120" w:line="278" w:lineRule="auto"/>
        <w:rPr>
          <w:szCs w:val="22"/>
        </w:rPr>
      </w:pPr>
      <w:r>
        <w:rPr>
          <w:rFonts w:hint="eastAsia"/>
          <w:szCs w:val="22"/>
        </w:rPr>
        <w:t>包装检查</w:t>
      </w:r>
    </w:p>
    <w:p w14:paraId="00666684">
      <w:pPr>
        <w:pStyle w:val="56"/>
        <w:autoSpaceDE/>
        <w:autoSpaceDN/>
        <w:ind w:firstLine="420"/>
      </w:pPr>
      <w:r>
        <w:rPr>
          <w:rFonts w:hint="eastAsia"/>
        </w:rPr>
        <w:t>目视检查橡胶</w:t>
      </w:r>
      <w:r>
        <w:t>的包装</w:t>
      </w:r>
      <w:r>
        <w:rPr>
          <w:rFonts w:hint="eastAsia"/>
        </w:rPr>
        <w:t>方式和内</w:t>
      </w:r>
      <w:r>
        <w:t>、外包装的</w:t>
      </w:r>
      <w:r>
        <w:rPr>
          <w:rFonts w:hint="eastAsia"/>
        </w:rPr>
        <w:t>完好程度</w:t>
      </w:r>
      <w:r>
        <w:t>，应符合本规范的规定，</w:t>
      </w:r>
      <w:r>
        <w:rPr>
          <w:rFonts w:hint="eastAsia"/>
        </w:rPr>
        <w:t>并无</w:t>
      </w:r>
      <w:r>
        <w:t>影响橡胶质量的损毁</w:t>
      </w:r>
      <w:r>
        <w:rPr>
          <w:rFonts w:hint="eastAsia"/>
        </w:rPr>
        <w:t>。</w:t>
      </w:r>
    </w:p>
    <w:p w14:paraId="737791D1">
      <w:pPr>
        <w:pStyle w:val="65"/>
        <w:spacing w:before="120" w:after="120" w:line="278" w:lineRule="auto"/>
        <w:rPr>
          <w:szCs w:val="22"/>
        </w:rPr>
      </w:pPr>
      <w:r>
        <w:rPr>
          <w:rFonts w:hint="eastAsia"/>
          <w:szCs w:val="22"/>
        </w:rPr>
        <w:t>尺寸检查</w:t>
      </w:r>
    </w:p>
    <w:p w14:paraId="4D220426">
      <w:pPr>
        <w:pStyle w:val="56"/>
        <w:autoSpaceDE/>
        <w:autoSpaceDN/>
        <w:ind w:firstLine="420"/>
      </w:pPr>
      <w:r>
        <w:rPr>
          <w:rFonts w:hint="eastAsia"/>
        </w:rPr>
        <w:t>橡胶</w:t>
      </w:r>
      <w:r>
        <w:t>去除</w:t>
      </w:r>
      <w:r>
        <w:rPr>
          <w:rFonts w:hint="eastAsia"/>
        </w:rPr>
        <w:t>外</w:t>
      </w:r>
      <w:r>
        <w:t>包装</w:t>
      </w:r>
      <w:r>
        <w:rPr>
          <w:rFonts w:hint="eastAsia"/>
        </w:rPr>
        <w:t>后</w:t>
      </w:r>
      <w:r>
        <w:t>，</w:t>
      </w:r>
      <w:r>
        <w:rPr>
          <w:rFonts w:hint="eastAsia"/>
        </w:rPr>
        <w:t>用卷尺</w:t>
      </w:r>
      <w:r>
        <w:t>测量胶块的尺寸</w:t>
      </w:r>
      <w:r>
        <w:rPr>
          <w:rFonts w:hint="eastAsia"/>
        </w:rPr>
        <w:t>，</w:t>
      </w:r>
      <w:r>
        <w:t>结果应</w:t>
      </w:r>
      <w:r>
        <w:rPr>
          <w:rFonts w:ascii="Times New Roman"/>
        </w:rPr>
        <w:t>符合4.3.1.1的规</w:t>
      </w:r>
      <w:r>
        <w:rPr>
          <w:rFonts w:hint="eastAsia"/>
        </w:rPr>
        <w:t>定</w:t>
      </w:r>
      <w:r>
        <w:t>。</w:t>
      </w:r>
    </w:p>
    <w:p w14:paraId="2D060C62">
      <w:pPr>
        <w:pStyle w:val="65"/>
        <w:spacing w:before="120" w:after="120" w:line="278" w:lineRule="auto"/>
        <w:rPr>
          <w:szCs w:val="22"/>
        </w:rPr>
      </w:pPr>
      <w:r>
        <w:rPr>
          <w:rFonts w:hint="eastAsia"/>
          <w:szCs w:val="22"/>
        </w:rPr>
        <w:t>重量检查</w:t>
      </w:r>
    </w:p>
    <w:p w14:paraId="5C15D8A0">
      <w:pPr>
        <w:pStyle w:val="56"/>
        <w:autoSpaceDE/>
        <w:autoSpaceDN/>
        <w:ind w:firstLine="420"/>
      </w:pPr>
      <w:r>
        <w:rPr>
          <w:rFonts w:ascii="Times New Roman"/>
        </w:rPr>
        <w:t>橡胶去除外包装后，用合适的衡器测量胶块的重量，结果应符合4.3.1.2的规</w:t>
      </w:r>
      <w:r>
        <w:rPr>
          <w:rFonts w:hint="eastAsia"/>
        </w:rPr>
        <w:t>定</w:t>
      </w:r>
      <w:r>
        <w:t>。</w:t>
      </w:r>
    </w:p>
    <w:p w14:paraId="4D2467D6">
      <w:pPr>
        <w:pStyle w:val="65"/>
        <w:spacing w:before="120" w:after="120" w:line="278" w:lineRule="auto"/>
        <w:rPr>
          <w:szCs w:val="22"/>
        </w:rPr>
      </w:pPr>
      <w:r>
        <w:rPr>
          <w:rFonts w:hint="eastAsia"/>
          <w:szCs w:val="22"/>
        </w:rPr>
        <w:t>标志检查</w:t>
      </w:r>
    </w:p>
    <w:p w14:paraId="08B0644C">
      <w:pPr>
        <w:pStyle w:val="56"/>
        <w:autoSpaceDE/>
        <w:autoSpaceDN/>
        <w:ind w:firstLine="420"/>
      </w:pPr>
      <w:r>
        <w:rPr>
          <w:rFonts w:hint="eastAsia"/>
        </w:rPr>
        <w:t>目视检查</w:t>
      </w:r>
      <w:r>
        <w:t>标志应符合本规</w:t>
      </w:r>
      <w:r>
        <w:rPr>
          <w:rFonts w:ascii="Times New Roman"/>
        </w:rPr>
        <w:t>范4.3.2.2的规定</w:t>
      </w:r>
      <w:r>
        <w:t>。</w:t>
      </w:r>
    </w:p>
    <w:p w14:paraId="72046C22">
      <w:pPr>
        <w:pStyle w:val="105"/>
        <w:spacing w:before="120" w:after="120" w:line="278" w:lineRule="auto"/>
        <w:rPr>
          <w:szCs w:val="22"/>
        </w:rPr>
      </w:pPr>
      <w:r>
        <w:rPr>
          <w:rFonts w:hint="eastAsia"/>
          <w:szCs w:val="22"/>
        </w:rPr>
        <w:t>外观检验</w:t>
      </w:r>
    </w:p>
    <w:p w14:paraId="2EB53ADB">
      <w:pPr>
        <w:pStyle w:val="56"/>
        <w:autoSpaceDE/>
        <w:autoSpaceDN/>
        <w:ind w:firstLine="420"/>
      </w:pPr>
      <w:r>
        <w:rPr>
          <w:rFonts w:hint="eastAsia"/>
        </w:rPr>
        <w:t>目视</w:t>
      </w:r>
      <w:r>
        <w:rPr>
          <w:rFonts w:ascii="Times New Roman"/>
        </w:rPr>
        <w:t>检查橡胶表面，应符合本规范4.2的规定。橡胶切割后断面外观的检查随生产使用进行，发现不合格胶块时予以剔除。</w:t>
      </w:r>
    </w:p>
    <w:p w14:paraId="799FA99D">
      <w:pPr>
        <w:pStyle w:val="105"/>
        <w:spacing w:before="120" w:after="120" w:line="278" w:lineRule="auto"/>
        <w:rPr>
          <w:szCs w:val="22"/>
        </w:rPr>
      </w:pPr>
      <w:r>
        <w:rPr>
          <w:rFonts w:hint="eastAsia"/>
          <w:szCs w:val="22"/>
        </w:rPr>
        <w:t>物理和化学性能检验</w:t>
      </w:r>
    </w:p>
    <w:p w14:paraId="7D3AE5DD">
      <w:pPr>
        <w:pStyle w:val="65"/>
        <w:spacing w:before="120" w:after="120" w:line="278" w:lineRule="auto"/>
        <w:rPr>
          <w:szCs w:val="22"/>
        </w:rPr>
      </w:pPr>
      <w:r>
        <w:rPr>
          <w:rFonts w:hint="eastAsia"/>
          <w:szCs w:val="22"/>
        </w:rPr>
        <w:t>取样制样</w:t>
      </w:r>
    </w:p>
    <w:p w14:paraId="57915CF9">
      <w:pPr>
        <w:pStyle w:val="94"/>
        <w:spacing w:before="120" w:after="120"/>
      </w:pPr>
      <w:r>
        <w:rPr>
          <w:rFonts w:hint="eastAsia"/>
        </w:rPr>
        <w:t>取样</w:t>
      </w:r>
    </w:p>
    <w:p w14:paraId="7EA8A8E0">
      <w:pPr>
        <w:pStyle w:val="56"/>
        <w:autoSpaceDE/>
        <w:autoSpaceDN/>
        <w:ind w:firstLine="420"/>
      </w:pPr>
      <w:r>
        <w:rPr>
          <w:rFonts w:hint="eastAsia"/>
        </w:rPr>
        <w:t>高铁减震器标准橡胶</w:t>
      </w:r>
      <w:r>
        <w:t>按</w:t>
      </w:r>
      <w:r>
        <w:rPr>
          <w:rFonts w:hint="eastAsia"/>
        </w:rPr>
        <w:t>GB</w:t>
      </w:r>
      <w:r>
        <w:t>/</w:t>
      </w:r>
      <w:r>
        <w:rPr>
          <w:rFonts w:hint="eastAsia"/>
        </w:rPr>
        <w:t xml:space="preserve">T </w:t>
      </w:r>
      <w:r>
        <w:t>15340</w:t>
      </w:r>
      <w:r>
        <w:rPr>
          <w:rFonts w:hint="eastAsia"/>
        </w:rPr>
        <w:t>规定的</w:t>
      </w:r>
      <w:r>
        <w:t>方法</w:t>
      </w:r>
      <w:r>
        <w:rPr>
          <w:rFonts w:hint="eastAsia"/>
        </w:rPr>
        <w:t>取样和均化</w:t>
      </w:r>
      <w:r>
        <w:t>，从一</w:t>
      </w:r>
      <w:r>
        <w:rPr>
          <w:rFonts w:hint="eastAsia"/>
        </w:rPr>
        <w:t>批</w:t>
      </w:r>
      <w:r>
        <w:t>橡胶中所取的每个样品都应符合本标准要求。</w:t>
      </w:r>
    </w:p>
    <w:p w14:paraId="27639336">
      <w:pPr>
        <w:pStyle w:val="94"/>
        <w:spacing w:before="120" w:after="120"/>
      </w:pPr>
      <w:r>
        <w:rPr>
          <w:rFonts w:hint="eastAsia"/>
        </w:rPr>
        <w:t>试验配方及混炼</w:t>
      </w:r>
    </w:p>
    <w:p w14:paraId="32133F95">
      <w:pPr>
        <w:pStyle w:val="56"/>
        <w:autoSpaceDE/>
        <w:autoSpaceDN/>
        <w:ind w:firstLine="420"/>
      </w:pPr>
      <w:r>
        <w:rPr>
          <w:rFonts w:hint="eastAsia"/>
        </w:rPr>
        <w:t>高铁减震器标准橡胶物理性能试验的配方应符合</w:t>
      </w:r>
      <w:r>
        <w:t>表</w:t>
      </w:r>
      <w:r>
        <w:rPr>
          <w:rFonts w:hint="eastAsia"/>
        </w:rPr>
        <w:t>1的</w:t>
      </w:r>
      <w:r>
        <w:t>规定</w:t>
      </w:r>
      <w:r>
        <w:rPr>
          <w:rFonts w:hint="eastAsia"/>
        </w:rPr>
        <w:t>。配料、</w:t>
      </w:r>
      <w:r>
        <w:t>混炼</w:t>
      </w:r>
      <w:r>
        <w:rPr>
          <w:rFonts w:hint="eastAsia"/>
        </w:rPr>
        <w:t>设备</w:t>
      </w:r>
      <w:r>
        <w:t>、过程控制应符合</w:t>
      </w:r>
      <w:r>
        <w:rPr>
          <w:rFonts w:hint="eastAsia"/>
        </w:rPr>
        <w:t>GB/T 6038的</w:t>
      </w:r>
      <w:r>
        <w:t>规定。</w:t>
      </w:r>
      <w:r>
        <w:rPr>
          <w:rFonts w:hint="eastAsia"/>
        </w:rPr>
        <w:t>混炼加料顺序</w:t>
      </w:r>
      <w:r>
        <w:t>和操作</w:t>
      </w:r>
      <w:r>
        <w:rPr>
          <w:rFonts w:hint="eastAsia"/>
        </w:rPr>
        <w:t>程序应符合NY/T 1403的</w:t>
      </w:r>
      <w:r>
        <w:t>规定。</w:t>
      </w:r>
    </w:p>
    <w:p w14:paraId="277AFD1D">
      <w:pPr>
        <w:pStyle w:val="94"/>
        <w:spacing w:before="120" w:after="120"/>
      </w:pPr>
      <w:r>
        <w:rPr>
          <w:rFonts w:hint="eastAsia"/>
        </w:rPr>
        <w:t>硫化条件</w:t>
      </w:r>
    </w:p>
    <w:p w14:paraId="344D0E0A">
      <w:pPr>
        <w:pStyle w:val="56"/>
        <w:autoSpaceDE/>
        <w:autoSpaceDN/>
        <w:ind w:firstLine="420"/>
      </w:pPr>
      <w:r>
        <w:rPr>
          <w:rFonts w:hint="eastAsia"/>
        </w:rPr>
        <w:t>高铁减震器标准橡胶物理性能试验胶料的硫化条件应符合</w:t>
      </w:r>
      <w:r>
        <w:t>表</w:t>
      </w:r>
      <w:r>
        <w:rPr>
          <w:rFonts w:hint="eastAsia"/>
        </w:rPr>
        <w:t>1的</w:t>
      </w:r>
      <w:r>
        <w:t>规定</w:t>
      </w:r>
      <w:r>
        <w:rPr>
          <w:rFonts w:hint="eastAsia"/>
        </w:rPr>
        <w:t>。硫化设备</w:t>
      </w:r>
      <w:r>
        <w:t>、过程控制应符合</w:t>
      </w:r>
      <w:r>
        <w:rPr>
          <w:rFonts w:hint="eastAsia"/>
        </w:rPr>
        <w:t>GB/T 6038的</w:t>
      </w:r>
      <w:r>
        <w:t>规定。</w:t>
      </w:r>
    </w:p>
    <w:p w14:paraId="0B205A92">
      <w:pPr>
        <w:pStyle w:val="94"/>
        <w:spacing w:before="120" w:after="120"/>
      </w:pPr>
      <w:r>
        <w:rPr>
          <w:rFonts w:hint="eastAsia"/>
        </w:rPr>
        <w:t>试样形状</w:t>
      </w:r>
    </w:p>
    <w:p w14:paraId="733F4AB5">
      <w:pPr>
        <w:pStyle w:val="56"/>
        <w:autoSpaceDE/>
        <w:autoSpaceDN/>
        <w:ind w:firstLine="420"/>
      </w:pPr>
      <w:r>
        <w:rPr>
          <w:rFonts w:hint="eastAsia"/>
        </w:rPr>
        <w:t>高铁减震器标准橡胶物理性能试验采用哑铃状试样，裁刀</w:t>
      </w:r>
      <w:r>
        <w:rPr>
          <w:rFonts w:ascii="Times New Roman"/>
        </w:rPr>
        <w:t>使用GB/T 528中规定的</w:t>
      </w:r>
      <w:r>
        <w:t>I</w:t>
      </w:r>
      <w:r>
        <w:rPr>
          <w:rFonts w:hint="eastAsia"/>
        </w:rPr>
        <w:t>型裁刀。</w:t>
      </w:r>
    </w:p>
    <w:p w14:paraId="5E220062">
      <w:pPr>
        <w:pStyle w:val="65"/>
        <w:spacing w:before="120" w:after="120" w:line="278" w:lineRule="auto"/>
        <w:rPr>
          <w:szCs w:val="22"/>
        </w:rPr>
      </w:pPr>
      <w:r>
        <w:rPr>
          <w:rFonts w:hint="eastAsia"/>
          <w:szCs w:val="22"/>
        </w:rPr>
        <w:t>检验条件</w:t>
      </w:r>
    </w:p>
    <w:p w14:paraId="5975888A">
      <w:pPr>
        <w:pStyle w:val="94"/>
        <w:spacing w:before="120" w:after="120"/>
      </w:pPr>
      <w:r>
        <w:rPr>
          <w:rFonts w:hint="eastAsia"/>
        </w:rPr>
        <w:t>实验室温度</w:t>
      </w:r>
    </w:p>
    <w:p w14:paraId="0D040747">
      <w:pPr>
        <w:pStyle w:val="56"/>
        <w:autoSpaceDE/>
        <w:autoSpaceDN/>
        <w:ind w:firstLine="420"/>
      </w:pPr>
      <w:r>
        <w:rPr>
          <w:rFonts w:hint="eastAsia"/>
        </w:rPr>
        <w:t>标准</w:t>
      </w:r>
      <w:r>
        <w:t>试验</w:t>
      </w:r>
      <w:r>
        <w:rPr>
          <w:rFonts w:hint="eastAsia"/>
        </w:rPr>
        <w:t>室</w:t>
      </w:r>
      <w:r>
        <w:rPr>
          <w:rFonts w:ascii="Times New Roman"/>
        </w:rPr>
        <w:t>温度为23±2 ℃或27±2 ℃（热带、亚</w:t>
      </w:r>
      <w:r>
        <w:rPr>
          <w:rFonts w:hint="eastAsia"/>
        </w:rPr>
        <w:t>热带</w:t>
      </w:r>
      <w:r>
        <w:t>地区）</w:t>
      </w:r>
      <w:r>
        <w:rPr>
          <w:rFonts w:hint="eastAsia"/>
        </w:rPr>
        <w:t>。</w:t>
      </w:r>
    </w:p>
    <w:p w14:paraId="6E97ECE8">
      <w:pPr>
        <w:pStyle w:val="94"/>
        <w:spacing w:before="120" w:after="120"/>
      </w:pPr>
      <w:r>
        <w:rPr>
          <w:rFonts w:hint="eastAsia"/>
        </w:rPr>
        <w:t>实验室湿度</w:t>
      </w:r>
    </w:p>
    <w:p w14:paraId="5568705F">
      <w:pPr>
        <w:pStyle w:val="56"/>
        <w:autoSpaceDE/>
        <w:autoSpaceDN/>
        <w:ind w:firstLine="420"/>
      </w:pPr>
      <w:r>
        <w:rPr>
          <w:rFonts w:hint="eastAsia"/>
        </w:rPr>
        <w:t>当</w:t>
      </w:r>
      <w:r>
        <w:t>温度和湿度都需要控制时，</w:t>
      </w:r>
      <w:r>
        <w:rPr>
          <w:rFonts w:ascii="Times New Roman"/>
        </w:rPr>
        <w:t>应从表3进行优</w:t>
      </w:r>
      <w:r>
        <w:t>先选择</w:t>
      </w:r>
      <w:r>
        <w:rPr>
          <w:rFonts w:hint="eastAsia"/>
        </w:rPr>
        <w:t>。</w:t>
      </w:r>
    </w:p>
    <w:p w14:paraId="22ABE287">
      <w:pPr>
        <w:pStyle w:val="56"/>
        <w:autoSpaceDE/>
        <w:autoSpaceDN/>
        <w:ind w:firstLine="420"/>
      </w:pPr>
    </w:p>
    <w:p w14:paraId="371E0BBE">
      <w:pPr>
        <w:pStyle w:val="56"/>
        <w:autoSpaceDE/>
        <w:autoSpaceDN/>
        <w:ind w:firstLine="420"/>
      </w:pPr>
    </w:p>
    <w:p w14:paraId="16B5426E">
      <w:pPr>
        <w:pStyle w:val="112"/>
        <w:spacing w:before="120" w:after="120"/>
      </w:pPr>
      <w:r>
        <w:rPr>
          <w:rFonts w:hint="eastAsia"/>
        </w:rPr>
        <w:t>实验室</w:t>
      </w:r>
      <w:r>
        <w:t>温湿度</w:t>
      </w:r>
    </w:p>
    <w:tbl>
      <w:tblPr>
        <w:tblStyle w:val="27"/>
        <w:tblW w:w="827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2758"/>
        <w:gridCol w:w="2759"/>
      </w:tblGrid>
      <w:tr w14:paraId="2AFEC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2759" w:type="dxa"/>
            <w:tcBorders>
              <w:bottom w:val="single" w:color="auto" w:sz="12" w:space="0"/>
            </w:tcBorders>
            <w:vAlign w:val="center"/>
          </w:tcPr>
          <w:p w14:paraId="42C23799">
            <w:pPr>
              <w:spacing w:line="240" w:lineRule="auto"/>
              <w:jc w:val="center"/>
              <w:rPr>
                <w:rFonts w:ascii="Times New Roman" w:hAnsi="Times New Roman"/>
                <w:sz w:val="18"/>
                <w:szCs w:val="18"/>
              </w:rPr>
            </w:pPr>
            <w:r>
              <w:rPr>
                <w:rFonts w:ascii="Times New Roman" w:hAnsi="Times New Roman"/>
                <w:sz w:val="18"/>
                <w:szCs w:val="18"/>
              </w:rPr>
              <w:t>温度/℃</w:t>
            </w:r>
          </w:p>
        </w:tc>
        <w:tc>
          <w:tcPr>
            <w:tcW w:w="2758" w:type="dxa"/>
            <w:tcBorders>
              <w:bottom w:val="single" w:color="auto" w:sz="12" w:space="0"/>
            </w:tcBorders>
            <w:vAlign w:val="center"/>
          </w:tcPr>
          <w:p w14:paraId="2FDBC6EB">
            <w:pPr>
              <w:spacing w:line="240" w:lineRule="auto"/>
              <w:jc w:val="center"/>
              <w:rPr>
                <w:rFonts w:ascii="Times New Roman" w:hAnsi="Times New Roman"/>
                <w:sz w:val="18"/>
                <w:szCs w:val="18"/>
              </w:rPr>
            </w:pPr>
            <w:r>
              <w:rPr>
                <w:rFonts w:ascii="Times New Roman" w:hAnsi="Times New Roman"/>
                <w:sz w:val="18"/>
                <w:szCs w:val="18"/>
              </w:rPr>
              <w:t>相对湿度/％</w:t>
            </w:r>
          </w:p>
        </w:tc>
        <w:tc>
          <w:tcPr>
            <w:tcW w:w="2759" w:type="dxa"/>
            <w:tcBorders>
              <w:bottom w:val="single" w:color="auto" w:sz="12" w:space="0"/>
            </w:tcBorders>
            <w:vAlign w:val="center"/>
          </w:tcPr>
          <w:p w14:paraId="1D6AF326">
            <w:pPr>
              <w:spacing w:line="240" w:lineRule="auto"/>
              <w:jc w:val="center"/>
              <w:rPr>
                <w:rFonts w:ascii="Times New Roman" w:hAnsi="Times New Roman"/>
                <w:sz w:val="18"/>
                <w:szCs w:val="18"/>
              </w:rPr>
            </w:pPr>
            <w:r>
              <w:rPr>
                <w:rFonts w:ascii="Times New Roman" w:hAnsi="Times New Roman"/>
                <w:color w:val="0D0D0D" w:themeColor="text1" w:themeTint="F2"/>
                <w:sz w:val="18"/>
                <w:szCs w:val="18"/>
                <w14:textFill>
                  <w14:solidFill>
                    <w14:schemeClr w14:val="tx1">
                      <w14:lumMod w14:val="95000"/>
                      <w14:lumOff w14:val="5000"/>
                    </w14:schemeClr>
                  </w14:solidFill>
                </w14:textFill>
              </w:rPr>
              <w:t>湿</w:t>
            </w:r>
            <w:r>
              <w:rPr>
                <w:rFonts w:ascii="Times New Roman" w:hAnsi="Times New Roman"/>
                <w:sz w:val="18"/>
                <w:szCs w:val="18"/>
              </w:rPr>
              <w:t>度公差/％</w:t>
            </w:r>
          </w:p>
        </w:tc>
      </w:tr>
      <w:tr w14:paraId="5139CE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759" w:type="dxa"/>
            <w:tcBorders>
              <w:top w:val="single" w:color="auto" w:sz="12" w:space="0"/>
            </w:tcBorders>
            <w:vAlign w:val="center"/>
          </w:tcPr>
          <w:p w14:paraId="0A4333E1">
            <w:pPr>
              <w:spacing w:line="240" w:lineRule="auto"/>
              <w:jc w:val="center"/>
              <w:rPr>
                <w:rFonts w:ascii="Times New Roman" w:hAnsi="Times New Roman"/>
                <w:sz w:val="18"/>
                <w:szCs w:val="18"/>
              </w:rPr>
            </w:pPr>
            <w:r>
              <w:rPr>
                <w:rFonts w:ascii="Times New Roman" w:hAnsi="Times New Roman"/>
                <w:sz w:val="18"/>
                <w:szCs w:val="18"/>
              </w:rPr>
              <w:t>23</w:t>
            </w:r>
          </w:p>
        </w:tc>
        <w:tc>
          <w:tcPr>
            <w:tcW w:w="2758" w:type="dxa"/>
            <w:tcBorders>
              <w:top w:val="single" w:color="auto" w:sz="12" w:space="0"/>
            </w:tcBorders>
            <w:vAlign w:val="center"/>
          </w:tcPr>
          <w:p w14:paraId="4F29F702">
            <w:pPr>
              <w:spacing w:line="240" w:lineRule="auto"/>
              <w:jc w:val="center"/>
              <w:rPr>
                <w:rFonts w:ascii="Times New Roman" w:hAnsi="Times New Roman"/>
                <w:sz w:val="18"/>
                <w:szCs w:val="18"/>
              </w:rPr>
            </w:pPr>
            <w:r>
              <w:rPr>
                <w:rFonts w:ascii="Times New Roman" w:hAnsi="Times New Roman"/>
                <w:sz w:val="18"/>
                <w:szCs w:val="18"/>
              </w:rPr>
              <w:t>50</w:t>
            </w:r>
          </w:p>
        </w:tc>
        <w:tc>
          <w:tcPr>
            <w:tcW w:w="2759" w:type="dxa"/>
            <w:vMerge w:val="restart"/>
            <w:tcBorders>
              <w:top w:val="single" w:color="auto" w:sz="12" w:space="0"/>
            </w:tcBorders>
            <w:vAlign w:val="center"/>
          </w:tcPr>
          <w:p w14:paraId="17F5F161">
            <w:pPr>
              <w:spacing w:line="240" w:lineRule="auto"/>
              <w:jc w:val="center"/>
              <w:rPr>
                <w:rFonts w:ascii="Times New Roman" w:hAnsi="Times New Roman"/>
                <w:sz w:val="18"/>
                <w:szCs w:val="18"/>
              </w:rPr>
            </w:pPr>
            <w:r>
              <w:rPr>
                <w:rFonts w:ascii="Times New Roman" w:hAnsi="Times New Roman"/>
                <w:sz w:val="18"/>
                <w:szCs w:val="18"/>
              </w:rPr>
              <w:t>±10</w:t>
            </w:r>
          </w:p>
        </w:tc>
      </w:tr>
      <w:tr w14:paraId="6B7B69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759" w:type="dxa"/>
            <w:vAlign w:val="center"/>
          </w:tcPr>
          <w:p w14:paraId="31A2FBA7">
            <w:pPr>
              <w:spacing w:line="240" w:lineRule="auto"/>
              <w:jc w:val="center"/>
              <w:rPr>
                <w:rFonts w:ascii="Times New Roman" w:hAnsi="Times New Roman"/>
                <w:sz w:val="18"/>
                <w:szCs w:val="18"/>
              </w:rPr>
            </w:pPr>
            <w:r>
              <w:rPr>
                <w:rFonts w:ascii="Times New Roman" w:hAnsi="Times New Roman"/>
                <w:sz w:val="18"/>
                <w:szCs w:val="18"/>
              </w:rPr>
              <w:t>27</w:t>
            </w:r>
          </w:p>
        </w:tc>
        <w:tc>
          <w:tcPr>
            <w:tcW w:w="2758" w:type="dxa"/>
            <w:vAlign w:val="center"/>
          </w:tcPr>
          <w:p w14:paraId="549D0637">
            <w:pPr>
              <w:spacing w:line="240" w:lineRule="auto"/>
              <w:jc w:val="center"/>
              <w:rPr>
                <w:rFonts w:ascii="Times New Roman" w:hAnsi="Times New Roman"/>
                <w:sz w:val="18"/>
                <w:szCs w:val="18"/>
              </w:rPr>
            </w:pPr>
            <w:r>
              <w:rPr>
                <w:rFonts w:ascii="Times New Roman" w:hAnsi="Times New Roman"/>
                <w:sz w:val="18"/>
                <w:szCs w:val="18"/>
              </w:rPr>
              <w:t>65</w:t>
            </w:r>
          </w:p>
        </w:tc>
        <w:tc>
          <w:tcPr>
            <w:tcW w:w="2759" w:type="dxa"/>
            <w:vMerge w:val="continue"/>
            <w:vAlign w:val="center"/>
          </w:tcPr>
          <w:p w14:paraId="27044FF0">
            <w:pPr>
              <w:spacing w:line="240" w:lineRule="auto"/>
              <w:jc w:val="center"/>
              <w:rPr>
                <w:rFonts w:ascii="Times New Roman" w:hAnsi="Times New Roman"/>
                <w:sz w:val="18"/>
                <w:szCs w:val="18"/>
              </w:rPr>
            </w:pPr>
          </w:p>
        </w:tc>
      </w:tr>
    </w:tbl>
    <w:p w14:paraId="788B3FFE">
      <w:pPr>
        <w:pStyle w:val="65"/>
        <w:spacing w:before="120" w:after="120" w:line="278" w:lineRule="auto"/>
        <w:rPr>
          <w:szCs w:val="22"/>
        </w:rPr>
      </w:pPr>
      <w:r>
        <w:rPr>
          <w:rFonts w:hint="eastAsia"/>
          <w:szCs w:val="22"/>
        </w:rPr>
        <w:t>样品及试样的停放与调节</w:t>
      </w:r>
    </w:p>
    <w:p w14:paraId="1122F414">
      <w:pPr>
        <w:pStyle w:val="56"/>
        <w:ind w:firstLine="420"/>
      </w:pPr>
      <w:r>
        <w:rPr>
          <w:rFonts w:hint="eastAsia"/>
        </w:rPr>
        <w:t>方法如下：</w:t>
      </w:r>
    </w:p>
    <w:p w14:paraId="04FA6009">
      <w:pPr>
        <w:pStyle w:val="174"/>
        <w:numPr>
          <w:ilvl w:val="0"/>
          <w:numId w:val="33"/>
        </w:numPr>
        <w:rPr>
          <w:rFonts w:ascii="Times New Roman"/>
        </w:rPr>
      </w:pPr>
      <w:r>
        <w:rPr>
          <w:rFonts w:ascii="Times New Roman"/>
        </w:rPr>
        <w:t>橡胶取样后应至少在标准温度下停放16 h以上，确保样品内外温度均衡并达到标准温度后方可进行均化。</w:t>
      </w:r>
    </w:p>
    <w:p w14:paraId="1442F8A9">
      <w:pPr>
        <w:pStyle w:val="174"/>
        <w:rPr>
          <w:rFonts w:ascii="Times New Roman"/>
        </w:rPr>
      </w:pPr>
      <w:r>
        <w:rPr>
          <w:rFonts w:ascii="Times New Roman"/>
        </w:rPr>
        <w:t>橡胶样品经均化后应在标准实验条件下调节2 h以上，方可用于混炼及其它试验。</w:t>
      </w:r>
    </w:p>
    <w:p w14:paraId="684A387E">
      <w:pPr>
        <w:pStyle w:val="174"/>
        <w:rPr>
          <w:rFonts w:ascii="Times New Roman"/>
        </w:rPr>
      </w:pPr>
      <w:r>
        <w:rPr>
          <w:rFonts w:ascii="Times New Roman"/>
        </w:rPr>
        <w:t>橡胶经混炼后应在标准实验条件下调节 2 h～24 h进行硫化。</w:t>
      </w:r>
    </w:p>
    <w:p w14:paraId="02663675">
      <w:pPr>
        <w:pStyle w:val="174"/>
        <w:rPr>
          <w:rFonts w:ascii="Times New Roman"/>
        </w:rPr>
      </w:pPr>
      <w:r>
        <w:rPr>
          <w:rFonts w:ascii="Times New Roman"/>
        </w:rPr>
        <w:t>橡胶试样硫化与试验的最短间隔应不少于16 h，最长停放时间应不超过4周。裁切试样前，在标准实验条件下调节不少于3 h。如果试样需要打磨，打磨与试验的间隔应不少于16 h，并不超过72 h。</w:t>
      </w:r>
    </w:p>
    <w:p w14:paraId="2643E393">
      <w:pPr>
        <w:pStyle w:val="65"/>
        <w:spacing w:before="120" w:after="120" w:line="278" w:lineRule="auto"/>
        <w:rPr>
          <w:szCs w:val="22"/>
        </w:rPr>
      </w:pPr>
      <w:r>
        <w:rPr>
          <w:rFonts w:hint="eastAsia"/>
          <w:szCs w:val="22"/>
        </w:rPr>
        <w:t>物理和化学性能试验</w:t>
      </w:r>
    </w:p>
    <w:p w14:paraId="157E334F">
      <w:pPr>
        <w:pStyle w:val="56"/>
        <w:autoSpaceDE/>
        <w:autoSpaceDN/>
        <w:ind w:firstLine="420"/>
      </w:pPr>
      <w:r>
        <w:rPr>
          <w:rFonts w:hint="eastAsia"/>
        </w:rPr>
        <w:t>高铁减震器标准橡胶的</w:t>
      </w:r>
      <w:r>
        <w:t>各项物理</w:t>
      </w:r>
      <w:r>
        <w:rPr>
          <w:rFonts w:ascii="Times New Roman"/>
        </w:rPr>
        <w:t>和化学性能试验按表1的规定进行。检验用的仪器仪表、衡具、量具需经国家认可的检测机构检定合格，并在有效期内。</w:t>
      </w:r>
    </w:p>
    <w:p w14:paraId="25830AF5">
      <w:pPr>
        <w:pStyle w:val="104"/>
        <w:spacing w:before="240" w:after="240" w:line="278" w:lineRule="auto"/>
        <w:rPr>
          <w:szCs w:val="21"/>
        </w:rPr>
      </w:pPr>
      <w:r>
        <w:rPr>
          <w:rFonts w:hint="eastAsia"/>
          <w:szCs w:val="21"/>
        </w:rPr>
        <w:t>运输和贮存</w:t>
      </w:r>
    </w:p>
    <w:p w14:paraId="2F4827C1">
      <w:pPr>
        <w:pStyle w:val="56"/>
        <w:autoSpaceDE/>
        <w:autoSpaceDN/>
        <w:ind w:firstLine="420"/>
      </w:pPr>
      <w:r>
        <w:rPr>
          <w:rFonts w:hint="eastAsia"/>
        </w:rPr>
        <w:t>应满足以下条件：</w:t>
      </w:r>
    </w:p>
    <w:p w14:paraId="7E29ED47">
      <w:pPr>
        <w:pStyle w:val="132"/>
        <w:rPr>
          <w:rFonts w:ascii="Times New Roman"/>
        </w:rPr>
      </w:pPr>
      <w:r>
        <w:rPr>
          <w:rFonts w:ascii="Times New Roman"/>
        </w:rPr>
        <w:t>胶包贮存置于地面高度30 cm以上和距离墙壁50 cm以上的托盘上。堆叠高度为4～6层。</w:t>
      </w:r>
    </w:p>
    <w:p w14:paraId="2980B8A7">
      <w:pPr>
        <w:pStyle w:val="132"/>
        <w:rPr>
          <w:rFonts w:ascii="Times New Roman"/>
        </w:rPr>
      </w:pPr>
      <w:r>
        <w:rPr>
          <w:rFonts w:ascii="Times New Roman"/>
        </w:rPr>
        <w:t>存放胶包的仓库，通风良好、干燥、不漏雨，防止发霉。存放温度不超过35℃，胶包贮藏位置无阳光直射。</w:t>
      </w:r>
    </w:p>
    <w:p w14:paraId="4A389BE2">
      <w:pPr>
        <w:pStyle w:val="132"/>
        <w:rPr>
          <w:rFonts w:ascii="Times New Roman"/>
        </w:rPr>
      </w:pPr>
      <w:r>
        <w:rPr>
          <w:rFonts w:ascii="Times New Roman"/>
        </w:rPr>
        <w:t>仓库要清洁。胶包不与铜和锰的盐类或氧化物接触，不与油类和易燃物品一起贮放。</w:t>
      </w:r>
    </w:p>
    <w:p w14:paraId="78C1164C">
      <w:pPr>
        <w:pStyle w:val="132"/>
        <w:rPr>
          <w:rFonts w:ascii="Times New Roman"/>
        </w:rPr>
      </w:pPr>
      <w:r>
        <w:rPr>
          <w:rFonts w:ascii="Times New Roman"/>
        </w:rPr>
        <w:t>胶料贮存期限为24个月。</w:t>
      </w:r>
    </w:p>
    <w:p w14:paraId="228162B7">
      <w:pPr>
        <w:pStyle w:val="132"/>
      </w:pPr>
      <w:r>
        <w:rPr>
          <w:rFonts w:ascii="Times New Roman"/>
        </w:rPr>
        <w:t>高铁减震器标准橡胶可采用公路、铁路、水运、空运等适宜的运输方式。在运输过程中应避免阳光直射、潮湿或雨淋，并避免杂质和化学物质污染</w:t>
      </w:r>
      <w:r>
        <w:t>。</w:t>
      </w:r>
    </w:p>
    <w:p w14:paraId="58B4B8C2">
      <w:pPr>
        <w:pStyle w:val="104"/>
        <w:spacing w:before="240" w:after="240" w:line="278" w:lineRule="auto"/>
        <w:rPr>
          <w:szCs w:val="21"/>
        </w:rPr>
      </w:pPr>
      <w:r>
        <w:rPr>
          <w:rFonts w:hint="eastAsia"/>
          <w:szCs w:val="21"/>
        </w:rPr>
        <w:t>说明事项</w:t>
      </w:r>
    </w:p>
    <w:p w14:paraId="2820BFBF">
      <w:pPr>
        <w:pStyle w:val="105"/>
        <w:spacing w:before="120" w:after="120" w:line="278" w:lineRule="auto"/>
        <w:rPr>
          <w:szCs w:val="22"/>
        </w:rPr>
      </w:pPr>
      <w:r>
        <w:rPr>
          <w:rFonts w:hint="eastAsia"/>
          <w:szCs w:val="22"/>
        </w:rPr>
        <w:t>预定用途</w:t>
      </w:r>
    </w:p>
    <w:p w14:paraId="0B68D0FD">
      <w:pPr>
        <w:pStyle w:val="56"/>
        <w:autoSpaceDE/>
        <w:autoSpaceDN/>
        <w:ind w:firstLine="420"/>
      </w:pPr>
      <w:r>
        <w:rPr>
          <w:rFonts w:hint="eastAsia"/>
        </w:rPr>
        <w:t>本规范</w:t>
      </w:r>
      <w:r>
        <w:t>规定的</w:t>
      </w:r>
      <w:r>
        <w:rPr>
          <w:rFonts w:hint="eastAsia"/>
        </w:rPr>
        <w:t>高铁减震器标准</w:t>
      </w:r>
      <w:r>
        <w:t>橡胶</w:t>
      </w:r>
      <w:r>
        <w:rPr>
          <w:rFonts w:hint="eastAsia"/>
        </w:rPr>
        <w:t>适用于军用</w:t>
      </w:r>
      <w:r>
        <w:t>、民用</w:t>
      </w:r>
      <w:r>
        <w:rPr>
          <w:rFonts w:hint="eastAsia"/>
        </w:rPr>
        <w:t>高铁减震器</w:t>
      </w:r>
      <w:r>
        <w:t>。</w:t>
      </w:r>
    </w:p>
    <w:p w14:paraId="4F264224">
      <w:pPr>
        <w:pStyle w:val="105"/>
        <w:spacing w:before="120" w:after="120" w:line="278" w:lineRule="auto"/>
        <w:rPr>
          <w:szCs w:val="22"/>
        </w:rPr>
      </w:pPr>
      <w:r>
        <w:rPr>
          <w:rFonts w:hint="eastAsia"/>
          <w:szCs w:val="22"/>
        </w:rPr>
        <w:t>订购文件中应明确的内容</w:t>
      </w:r>
    </w:p>
    <w:p w14:paraId="09C43CD1">
      <w:pPr>
        <w:pStyle w:val="174"/>
        <w:numPr>
          <w:ilvl w:val="0"/>
          <w:numId w:val="34"/>
        </w:numPr>
      </w:pPr>
      <w:r>
        <w:rPr>
          <w:rFonts w:hint="eastAsia"/>
        </w:rPr>
        <w:t>本规范</w:t>
      </w:r>
      <w:r>
        <w:t>的</w:t>
      </w:r>
      <w:r>
        <w:rPr>
          <w:rFonts w:hint="eastAsia"/>
        </w:rPr>
        <w:t>编号</w:t>
      </w:r>
      <w:r>
        <w:t>、名称；</w:t>
      </w:r>
    </w:p>
    <w:p w14:paraId="485DDA51">
      <w:pPr>
        <w:pStyle w:val="174"/>
      </w:pPr>
      <w:r>
        <w:rPr>
          <w:rFonts w:hint="eastAsia"/>
        </w:rPr>
        <w:t>包装</w:t>
      </w:r>
      <w:r>
        <w:t>要求；</w:t>
      </w:r>
    </w:p>
    <w:p w14:paraId="538D3EB3">
      <w:pPr>
        <w:pStyle w:val="174"/>
      </w:pPr>
      <w:r>
        <w:t>其它需要说明的事项。</w:t>
      </w:r>
      <w:bookmarkEnd w:id="22"/>
      <w:bookmarkStart w:id="44" w:name="BookMark6"/>
    </w:p>
    <w:bookmarkEnd w:id="44"/>
    <w:p w14:paraId="6CAB3ABB">
      <w:pPr>
        <w:pStyle w:val="56"/>
        <w:ind w:firstLine="0" w:firstLineChars="0"/>
        <w:jc w:val="center"/>
      </w:pPr>
      <w:bookmarkStart w:id="45" w:name="BookMark8"/>
      <w:r>
        <w:drawing>
          <wp:inline distT="0" distB="0" distL="0" distR="0">
            <wp:extent cx="1485900" cy="317500"/>
            <wp:effectExtent l="0" t="0" r="0" b="6350"/>
            <wp:docPr id="186680603" name="图片 1"/>
            <wp:cNvGraphicFramePr/>
            <a:graphic xmlns:a="http://schemas.openxmlformats.org/drawingml/2006/main">
              <a:graphicData uri="http://schemas.openxmlformats.org/drawingml/2006/picture">
                <pic:pic xmlns:pic="http://schemas.openxmlformats.org/drawingml/2006/picture">
                  <pic:nvPicPr>
                    <pic:cNvPr id="186680603"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F34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948D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51A9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C784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DB8B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C715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BFA9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0D425">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6EC49">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C1A5465"/>
    <w:multiLevelType w:val="multilevel"/>
    <w:tmpl w:val="4C1A5465"/>
    <w:lvl w:ilvl="0" w:tentative="0">
      <w:start w:val="1"/>
      <w:numFmt w:val="decimal"/>
      <w:pStyle w:val="230"/>
      <w:suff w:val="nothing"/>
      <w:lvlText w:val="[%1]  "/>
      <w:lvlJc w:val="left"/>
      <w:pPr>
        <w:ind w:left="624" w:hanging="624"/>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5"/>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EKCyFisJ131AGA4gcmgoliPK/33puWGkmquf82yL1/TRGHDf6lsP9WcEg+m57vtTqYue9CZL00dVxcrBqQHY+g==" w:salt="l/cyxLuc7GbSENZAVNXxA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6F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9F0"/>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619"/>
    <w:rsid w:val="00104926"/>
    <w:rsid w:val="00113B1E"/>
    <w:rsid w:val="00115A51"/>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8A1"/>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AC2"/>
    <w:rsid w:val="00400E72"/>
    <w:rsid w:val="00401400"/>
    <w:rsid w:val="00404869"/>
    <w:rsid w:val="00405884"/>
    <w:rsid w:val="00407D39"/>
    <w:rsid w:val="0041477A"/>
    <w:rsid w:val="004167A3"/>
    <w:rsid w:val="00432DAA"/>
    <w:rsid w:val="00432FC4"/>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D3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999"/>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560"/>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8E"/>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670"/>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9CC"/>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A48"/>
    <w:rsid w:val="00B65149"/>
    <w:rsid w:val="00B66567"/>
    <w:rsid w:val="00B66F52"/>
    <w:rsid w:val="00B66FE5"/>
    <w:rsid w:val="00B72880"/>
    <w:rsid w:val="00B758BF"/>
    <w:rsid w:val="00B77EC8"/>
    <w:rsid w:val="00B827A6"/>
    <w:rsid w:val="00B831CE"/>
    <w:rsid w:val="00B86677"/>
    <w:rsid w:val="00B87131"/>
    <w:rsid w:val="00B923D5"/>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18BF"/>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120"/>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0742"/>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00A"/>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6FE"/>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8B5EF9"/>
    <w:rsid w:val="12F47048"/>
    <w:rsid w:val="16731C0F"/>
    <w:rsid w:val="1A2541AB"/>
    <w:rsid w:val="1A8171DE"/>
    <w:rsid w:val="1EAA4E8C"/>
    <w:rsid w:val="22B440FE"/>
    <w:rsid w:val="36963DEF"/>
    <w:rsid w:val="3D0E6600"/>
    <w:rsid w:val="3FC65745"/>
    <w:rsid w:val="41BD4926"/>
    <w:rsid w:val="44917E84"/>
    <w:rsid w:val="4A0D1A95"/>
    <w:rsid w:val="4B2F1547"/>
    <w:rsid w:val="4C5E34E6"/>
    <w:rsid w:val="52985CA8"/>
    <w:rsid w:val="59F55C6C"/>
    <w:rsid w:val="629B28F4"/>
    <w:rsid w:val="64287B33"/>
    <w:rsid w:val="65062367"/>
    <w:rsid w:val="69A43B52"/>
    <w:rsid w:val="6B9F38AE"/>
    <w:rsid w:val="7D341239"/>
    <w:rsid w:val="7F74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标准_参考文献条目"/>
    <w:basedOn w:val="1"/>
    <w:qFormat/>
    <w:uiPriority w:val="0"/>
    <w:pPr>
      <w:widowControl/>
      <w:numPr>
        <w:ilvl w:val="0"/>
        <w:numId w:val="32"/>
      </w:numPr>
      <w:adjustRightInd/>
      <w:spacing w:after="160" w:line="278" w:lineRule="auto"/>
      <w:ind w:left="824" w:leftChars="200"/>
    </w:pPr>
    <w:rPr>
      <w:rFonts w:ascii="宋体" w:hAnsi="Times New Roman" w:cstheme="minorBidi"/>
      <w:color w:val="000000"/>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FC62D244B9F44DAB19DD9A4D66D201E"/>
        <w:style w:val=""/>
        <w:category>
          <w:name w:val="常规"/>
          <w:gallery w:val="placeholder"/>
        </w:category>
        <w:types>
          <w:type w:val="bbPlcHdr"/>
        </w:types>
        <w:behaviors>
          <w:behavior w:val="content"/>
        </w:behaviors>
        <w:description w:val=""/>
        <w:guid w:val="{2D56A6EB-2A07-43D0-B1DF-6FF33B8227FD}"/>
      </w:docPartPr>
      <w:docPartBody>
        <w:p w14:paraId="490981CF">
          <w:pPr>
            <w:pStyle w:val="5"/>
            <w:rPr>
              <w:rFonts w:hint="eastAsia"/>
            </w:rPr>
          </w:pPr>
          <w:r>
            <w:rPr>
              <w:rStyle w:val="4"/>
              <w:rFonts w:hint="eastAsia"/>
            </w:rPr>
            <w:t>单击或点击此处输入文字。</w:t>
          </w:r>
        </w:p>
      </w:docPartBody>
    </w:docPart>
    <w:docPart>
      <w:docPartPr>
        <w:name w:val="5505797FA974457EBAE2DB5757B7E213"/>
        <w:style w:val=""/>
        <w:category>
          <w:name w:val="常规"/>
          <w:gallery w:val="placeholder"/>
        </w:category>
        <w:types>
          <w:type w:val="bbPlcHdr"/>
        </w:types>
        <w:behaviors>
          <w:behavior w:val="content"/>
        </w:behaviors>
        <w:description w:val=""/>
        <w:guid w:val="{31669C3F-39F6-4D44-B25C-5011B3FA6599}"/>
      </w:docPartPr>
      <w:docPartBody>
        <w:p w14:paraId="3D4524A1">
          <w:pPr>
            <w:pStyle w:val="6"/>
            <w:rPr>
              <w:rFonts w:hint="eastAsia"/>
            </w:rPr>
          </w:pPr>
          <w:r>
            <w:rPr>
              <w:rStyle w:val="4"/>
              <w:rFonts w:hint="eastAsia"/>
            </w:rPr>
            <w:t>选择一项。</w:t>
          </w:r>
        </w:p>
      </w:docPartBody>
    </w:docPart>
    <w:docPart>
      <w:docPartPr>
        <w:name w:val="9D51A0C1406946D487C47D56819823E6"/>
        <w:style w:val=""/>
        <w:category>
          <w:name w:val="常规"/>
          <w:gallery w:val="placeholder"/>
        </w:category>
        <w:types>
          <w:type w:val="bbPlcHdr"/>
        </w:types>
        <w:behaviors>
          <w:behavior w:val="content"/>
        </w:behaviors>
        <w:description w:val=""/>
        <w:guid w:val="{1BEAAB11-E1D6-426C-9552-EE49CD92E4B0}"/>
      </w:docPartPr>
      <w:docPartBody>
        <w:p w14:paraId="03E6F9A2">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83A"/>
    <w:rsid w:val="003D3154"/>
    <w:rsid w:val="00780107"/>
    <w:rsid w:val="00787999"/>
    <w:rsid w:val="00A81497"/>
    <w:rsid w:val="00AA7F8A"/>
    <w:rsid w:val="00AC7FDF"/>
    <w:rsid w:val="00B219CC"/>
    <w:rsid w:val="00B64A48"/>
    <w:rsid w:val="00C013D6"/>
    <w:rsid w:val="00C05AE6"/>
    <w:rsid w:val="00E20742"/>
    <w:rsid w:val="00E33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FC62D244B9F44DAB19DD9A4D66D201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505797FA974457EBAE2DB5757B7E21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9D51A0C1406946D487C47D56819823E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2870</Words>
  <Characters>3568</Characters>
  <Lines>244</Lines>
  <Paragraphs>336</Paragraphs>
  <TotalTime>28</TotalTime>
  <ScaleCrop>false</ScaleCrop>
  <LinksUpToDate>false</LinksUpToDate>
  <CharactersWithSpaces>3701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2025-07-17T07:05:00Z</dcterms:created>
  <dc:creator>WuYong</dc:creator>
  <dc:description>&lt;config cover="true" show_menu="true" version="1.0.0" doctype="SDKXY"&gt;_x000d_
&lt;/config&gt;</dc:description>
  <cp:lastModifiedBy>吴勇</cp:lastModifiedBy>
  <cp:lastPrinted>2021-02-02T08:22:00Z</cp:lastPrinted>
  <dcterms:modified xsi:type="dcterms:W3CDTF">2025-09-29T06:40:46Z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eyJoZGlkIjoiODIwN2QzZWEyYWIxODZiZjA0MjIwNjBlZjFkMjk4NWYiLCJ1c2VySWQiOiIyOTY3MzMxOSJ9</vt:lpwstr>
  </property>
  <property fmtid="{D5CDD505-2E9C-101B-9397-08002B2CF9AE}" pid="15" name="KSOProductBuildVer">
    <vt:lpwstr>2052-12.1.0.22529</vt:lpwstr>
  </property>
  <property fmtid="{D5CDD505-2E9C-101B-9397-08002B2CF9AE}" pid="16" name="ICV">
    <vt:lpwstr>67AF276CFB6D483EB58F81BCDA94B2F5_13</vt:lpwstr>
  </property>
</Properties>
</file>